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二氧化碳培养箱技术参数要求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气套式触摸屏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公称容积（L）：≥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160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额定功率（W）：≥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375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温度控制方式：PT100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温度控制范围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: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Rt+5--60℃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温度波动（℃）：±0.2（@37）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温度均匀性（℃）：±0.3（@37）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CO2浓度控制方式：IR红外线传感器（VAISALA）,具有NIST校准证书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CO2浓度控制范围（vol%）：0--20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CO2浓度控制误差（vol%）：±0.1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11、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CO2浓度均匀性（vol%）：±0.2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12、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相对湿度（RH%）：≥90%，该参数不显示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13、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环境温度（℃）：5—30，建议25±2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14、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过滤器：亚高效过滤器、HEPA高效过滤器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15、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电源电压：AC220/110V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16、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数据存储：USB接口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显示界面：≥7.0寸触摸屏</w:t>
      </w:r>
    </w:p>
    <w:p>
      <w:pPr>
        <w:widowControl/>
        <w:autoSpaceDE/>
        <w:autoSpaceDN/>
        <w:snapToGrid/>
        <w:spacing w:before="0" w:after="0" w:line="240" w:lineRule="auto"/>
        <w:ind w:left="0" w:firstLine="0"/>
        <w:jc w:val="left"/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val="en-US" w:eastAsia="zh-CN"/>
        </w:rPr>
        <w:t>18、</w:t>
      </w:r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灭菌：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w w:val="100"/>
          <w:sz w:val="21"/>
          <w:szCs w:val="21"/>
          <w:lang w:eastAsia="zh-CN"/>
        </w:rPr>
        <w:t>双重过滤器，标配UV</w:t>
      </w:r>
    </w:p>
    <w:p>
      <w:pPr>
        <w:jc w:val="center"/>
        <w:rPr>
          <w:rFonts w:hint="eastAsia"/>
          <w:b/>
          <w:bCs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F6D78"/>
    <w:rsid w:val="126031F3"/>
    <w:rsid w:val="59DE385D"/>
    <w:rsid w:val="5A6265DA"/>
    <w:rsid w:val="7B19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yonghu</dc:creator>
  <cp:lastModifiedBy>谢宗师</cp:lastModifiedBy>
  <dcterms:modified xsi:type="dcterms:W3CDTF">2020-07-02T00:56:33Z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