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4"/>
          <w:szCs w:val="44"/>
        </w:rPr>
      </w:pPr>
      <w:bookmarkStart w:id="1" w:name="_GoBack"/>
      <w:r>
        <w:rPr>
          <w:b/>
          <w:bCs/>
          <w:sz w:val="44"/>
          <w:szCs w:val="44"/>
        </w:rPr>
        <w:t>系统招标技术参数要求</w:t>
      </w:r>
    </w:p>
    <w:bookmarkEnd w:id="1"/>
    <w:p>
      <w:pPr>
        <w:pStyle w:val="2"/>
        <w:numPr>
          <w:ilvl w:val="0"/>
          <w:numId w:val="1"/>
        </w:numPr>
      </w:pPr>
      <w:r>
        <w:t>公司资质要求（不符合条件为无效投标）</w:t>
      </w:r>
    </w:p>
    <w:p>
      <w:pPr>
        <w:widowControl/>
        <w:spacing w:line="360" w:lineRule="auto"/>
        <w:jc w:val="left"/>
        <w:rPr>
          <w:sz w:val="24"/>
          <w:szCs w:val="24"/>
        </w:rPr>
      </w:pPr>
      <w:r>
        <w:rPr>
          <w:sz w:val="24"/>
          <w:szCs w:val="24"/>
        </w:rPr>
        <w:t>1、投标人需提供经年检合格的工商营业执照（三证合一）</w:t>
      </w:r>
    </w:p>
    <w:p>
      <w:pPr>
        <w:pStyle w:val="2"/>
        <w:numPr>
          <w:ilvl w:val="0"/>
          <w:numId w:val="1"/>
        </w:numPr>
      </w:pPr>
      <w:r>
        <w:t>产品资质要求（不符合条件为无效投标）</w:t>
      </w:r>
      <w:bookmarkStart w:id="0" w:name="_Toc361780468"/>
    </w:p>
    <w:p>
      <w:pPr>
        <w:widowControl/>
        <w:spacing w:line="360" w:lineRule="auto"/>
        <w:jc w:val="left"/>
        <w:rPr>
          <w:sz w:val="24"/>
          <w:szCs w:val="24"/>
        </w:rPr>
      </w:pPr>
      <w:r>
        <w:rPr>
          <w:sz w:val="24"/>
          <w:szCs w:val="24"/>
        </w:rPr>
        <w:t>1、产品</w:t>
      </w:r>
      <w:r>
        <w:rPr>
          <w:sz w:val="24"/>
        </w:rPr>
        <w:t>需要提供</w:t>
      </w:r>
      <w:r>
        <w:rPr>
          <w:sz w:val="24"/>
          <w:szCs w:val="24"/>
        </w:rPr>
        <w:t>医疗器械注册证复印件</w:t>
      </w:r>
    </w:p>
    <w:p>
      <w:pPr>
        <w:pStyle w:val="2"/>
        <w:numPr>
          <w:ilvl w:val="0"/>
          <w:numId w:val="1"/>
        </w:numPr>
      </w:pPr>
      <w:r>
        <w:t>采购清单</w:t>
      </w:r>
    </w:p>
    <w:tbl>
      <w:tblPr>
        <w:tblStyle w:val="1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84"/>
        <w:gridCol w:w="3598"/>
        <w:gridCol w:w="102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spacing w:line="276" w:lineRule="auto"/>
              <w:jc w:val="center"/>
              <w:rPr>
                <w:bCs/>
                <w:szCs w:val="24"/>
              </w:rPr>
            </w:pPr>
            <w:r>
              <w:rPr>
                <w:bCs/>
                <w:szCs w:val="24"/>
              </w:rPr>
              <w:t>序号</w:t>
            </w:r>
          </w:p>
        </w:tc>
        <w:tc>
          <w:tcPr>
            <w:tcW w:w="5182" w:type="dxa"/>
            <w:gridSpan w:val="2"/>
            <w:vAlign w:val="center"/>
          </w:tcPr>
          <w:p>
            <w:pPr>
              <w:spacing w:line="276" w:lineRule="auto"/>
              <w:jc w:val="center"/>
              <w:rPr>
                <w:bCs/>
                <w:szCs w:val="24"/>
              </w:rPr>
            </w:pPr>
            <w:r>
              <w:rPr>
                <w:bCs/>
                <w:szCs w:val="24"/>
              </w:rPr>
              <w:t>货物名称</w:t>
            </w:r>
          </w:p>
        </w:tc>
        <w:tc>
          <w:tcPr>
            <w:tcW w:w="1022" w:type="dxa"/>
            <w:vAlign w:val="center"/>
          </w:tcPr>
          <w:p>
            <w:pPr>
              <w:spacing w:line="276" w:lineRule="auto"/>
              <w:jc w:val="center"/>
              <w:rPr>
                <w:bCs/>
                <w:szCs w:val="24"/>
              </w:rPr>
            </w:pPr>
            <w:r>
              <w:rPr>
                <w:bCs/>
                <w:szCs w:val="24"/>
              </w:rPr>
              <w:t>数量</w:t>
            </w:r>
          </w:p>
        </w:tc>
        <w:tc>
          <w:tcPr>
            <w:tcW w:w="1580" w:type="dxa"/>
            <w:vAlign w:val="center"/>
          </w:tcPr>
          <w:p>
            <w:pPr>
              <w:spacing w:line="276" w:lineRule="auto"/>
              <w:jc w:val="center"/>
              <w:rPr>
                <w:bCs/>
                <w:szCs w:val="24"/>
              </w:rPr>
            </w:pPr>
            <w:r>
              <w:rPr>
                <w:bCs/>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numPr>
                <w:ilvl w:val="0"/>
                <w:numId w:val="2"/>
              </w:numPr>
              <w:spacing w:line="276" w:lineRule="auto"/>
              <w:jc w:val="center"/>
              <w:rPr>
                <w:bCs/>
                <w:szCs w:val="24"/>
              </w:rPr>
            </w:pPr>
          </w:p>
        </w:tc>
        <w:tc>
          <w:tcPr>
            <w:tcW w:w="1584" w:type="dxa"/>
            <w:vAlign w:val="center"/>
          </w:tcPr>
          <w:p>
            <w:pPr>
              <w:spacing w:line="276" w:lineRule="auto"/>
              <w:jc w:val="center"/>
              <w:rPr>
                <w:bCs/>
                <w:szCs w:val="24"/>
              </w:rPr>
            </w:pPr>
            <w:r>
              <w:rPr>
                <w:rFonts w:hint="eastAsia"/>
                <w:b/>
                <w:bCs/>
                <w:szCs w:val="21"/>
              </w:rPr>
              <w:t>设备接入</w:t>
            </w:r>
          </w:p>
        </w:tc>
        <w:tc>
          <w:tcPr>
            <w:tcW w:w="3598" w:type="dxa"/>
            <w:vAlign w:val="center"/>
          </w:tcPr>
          <w:p>
            <w:pPr>
              <w:jc w:val="center"/>
            </w:pPr>
            <w:r>
              <w:rPr>
                <w:rFonts w:hint="eastAsia"/>
                <w:b/>
                <w:bCs/>
                <w:szCs w:val="21"/>
              </w:rPr>
              <w:t>设备接入心电网络系统</w:t>
            </w:r>
          </w:p>
        </w:tc>
        <w:tc>
          <w:tcPr>
            <w:tcW w:w="1022" w:type="dxa"/>
            <w:vAlign w:val="center"/>
          </w:tcPr>
          <w:p>
            <w:pPr>
              <w:spacing w:line="276" w:lineRule="auto"/>
              <w:ind w:firstLine="420" w:firstLineChars="200"/>
              <w:rPr>
                <w:rFonts w:hint="eastAsia" w:eastAsia="宋体"/>
                <w:bCs/>
                <w:color w:val="FF0000"/>
                <w:szCs w:val="24"/>
                <w:lang w:eastAsia="zh-CN"/>
              </w:rPr>
            </w:pPr>
            <w:r>
              <w:rPr>
                <w:rFonts w:hint="eastAsia"/>
                <w:bCs/>
                <w:color w:val="FF0000"/>
                <w:szCs w:val="24"/>
                <w:lang w:val="en-US" w:eastAsia="zh-CN"/>
              </w:rPr>
              <w:t>6</w:t>
            </w:r>
          </w:p>
        </w:tc>
        <w:tc>
          <w:tcPr>
            <w:tcW w:w="1580" w:type="dxa"/>
            <w:vAlign w:val="center"/>
          </w:tcPr>
          <w:p>
            <w:pPr>
              <w:spacing w:line="276" w:lineRule="auto"/>
              <w:jc w:val="center"/>
              <w:rPr>
                <w:bCs/>
                <w:szCs w:val="24"/>
              </w:rPr>
            </w:pPr>
            <w:r>
              <w:rPr>
                <w:rFonts w:hint="eastAsia"/>
                <w:bCs/>
                <w:szCs w:val="24"/>
              </w:rPr>
              <w:t>台</w:t>
            </w:r>
          </w:p>
        </w:tc>
      </w:tr>
    </w:tbl>
    <w:p>
      <w:pPr>
        <w:widowControl/>
        <w:spacing w:line="360" w:lineRule="auto"/>
        <w:jc w:val="left"/>
        <w:rPr>
          <w:sz w:val="24"/>
          <w:szCs w:val="24"/>
        </w:rPr>
      </w:pPr>
    </w:p>
    <w:p>
      <w:pPr>
        <w:pStyle w:val="2"/>
        <w:numPr>
          <w:ilvl w:val="0"/>
          <w:numId w:val="1"/>
        </w:numPr>
      </w:pPr>
      <w:r>
        <w:t>项目</w:t>
      </w:r>
      <w:bookmarkEnd w:id="0"/>
      <w:r>
        <w:t>概况</w:t>
      </w:r>
    </w:p>
    <w:p>
      <w:pPr>
        <w:widowControl/>
        <w:spacing w:line="360" w:lineRule="auto"/>
        <w:ind w:firstLine="480" w:firstLineChars="200"/>
        <w:jc w:val="left"/>
        <w:rPr>
          <w:sz w:val="24"/>
          <w:szCs w:val="24"/>
        </w:rPr>
      </w:pPr>
      <w:r>
        <w:rPr>
          <w:sz w:val="24"/>
          <w:szCs w:val="24"/>
        </w:rPr>
        <w:t>心电网络系统实现医院心电检查数据联网，针对医院目前心电检查的现状，完善现有的心电图检查流程，将心电检查覆盖到全院各科室，实现门诊、急诊、住院、体检的心电检查流程优化。通过对接医院信息管理平台，心电图检查完全实现在网上申请、收费、预约和登记，实时在线检查、报告传输及远程会诊一体化，使全院的心电图检查，心电图数据、各种电生理数据、报告实现数字化，网络化，无纸化集中管理。实施效果如下：</w:t>
      </w:r>
    </w:p>
    <w:p>
      <w:pPr>
        <w:widowControl/>
        <w:spacing w:line="360" w:lineRule="auto"/>
        <w:ind w:firstLine="480" w:firstLineChars="200"/>
        <w:jc w:val="left"/>
        <w:rPr>
          <w:sz w:val="24"/>
          <w:szCs w:val="24"/>
        </w:rPr>
      </w:pPr>
      <w:r>
        <w:rPr>
          <w:sz w:val="24"/>
          <w:szCs w:val="24"/>
        </w:rPr>
        <w:t>1、建立全院心电网络系统，通过心电网络系统完成心电图检查的申请、预约叫号、采集和存储、诊断报告、查询等工作，实现医院心电图检查工作的信息化、规范化。</w:t>
      </w:r>
    </w:p>
    <w:p>
      <w:pPr>
        <w:widowControl/>
        <w:spacing w:line="360" w:lineRule="auto"/>
        <w:ind w:firstLine="480" w:firstLineChars="200"/>
        <w:rPr>
          <w:sz w:val="24"/>
          <w:szCs w:val="24"/>
        </w:rPr>
      </w:pPr>
      <w:r>
        <w:rPr>
          <w:sz w:val="24"/>
          <w:szCs w:val="24"/>
        </w:rPr>
        <w:t>2、心电诊断中心实现院内心电检查的全面接入，包括心电图室、门诊、急诊、病区等机构接入，实现心电检查数字化传输、集中诊断和院内信息共享，心电检查工作效率有效提高。</w:t>
      </w:r>
    </w:p>
    <w:p>
      <w:pPr>
        <w:widowControl/>
        <w:spacing w:line="360" w:lineRule="auto"/>
        <w:ind w:firstLine="480" w:firstLineChars="200"/>
        <w:jc w:val="left"/>
        <w:rPr>
          <w:sz w:val="24"/>
          <w:szCs w:val="24"/>
        </w:rPr>
      </w:pPr>
      <w:r>
        <w:rPr>
          <w:sz w:val="24"/>
          <w:szCs w:val="24"/>
        </w:rPr>
        <w:t>3、实现工作流程自动化，从申请单的提交、预约、收费、检查、数据录入直到输出检查报告，心电信息管理系统都能给予很好的支持，使这些工作过程全自动化进行。</w:t>
      </w:r>
    </w:p>
    <w:p>
      <w:pPr>
        <w:widowControl/>
        <w:spacing w:line="360" w:lineRule="auto"/>
        <w:ind w:firstLine="480" w:firstLineChars="200"/>
        <w:jc w:val="left"/>
        <w:rPr>
          <w:sz w:val="24"/>
          <w:szCs w:val="24"/>
        </w:rPr>
      </w:pPr>
      <w:r>
        <w:rPr>
          <w:sz w:val="24"/>
          <w:szCs w:val="24"/>
        </w:rPr>
        <w:t>4、节约成本，各科室采集的心电图可通过网络自动传送到心电图室，由专业医师统一发放检查报告，既可以减少失误，又方便快捷。用普通A4或者B5纸代替热敏纸打印心电图报告，为医院节约大量的成本。</w:t>
      </w:r>
    </w:p>
    <w:p>
      <w:pPr>
        <w:widowControl/>
        <w:spacing w:line="360" w:lineRule="auto"/>
        <w:ind w:firstLine="480" w:firstLineChars="200"/>
        <w:jc w:val="left"/>
        <w:rPr>
          <w:sz w:val="24"/>
          <w:szCs w:val="24"/>
        </w:rPr>
      </w:pPr>
      <w:r>
        <w:rPr>
          <w:sz w:val="24"/>
          <w:szCs w:val="24"/>
        </w:rPr>
        <w:t>5、实现高效在线诊断和远程会诊，远程心电数据可通过4G、WIFI网络传入，实现心电在线诊断和远程会诊，提供科室心电医生诊断效率。</w:t>
      </w:r>
    </w:p>
    <w:p>
      <w:pPr>
        <w:widowControl/>
        <w:spacing w:line="360" w:lineRule="auto"/>
        <w:ind w:firstLine="480" w:firstLineChars="200"/>
        <w:jc w:val="left"/>
        <w:rPr>
          <w:sz w:val="24"/>
          <w:szCs w:val="24"/>
        </w:rPr>
      </w:pPr>
      <w:r>
        <w:rPr>
          <w:sz w:val="24"/>
          <w:szCs w:val="24"/>
        </w:rPr>
        <w:t>6、建立科研资料库，由于心电图实现信息化管理，心电图的各种分类、心电图的查询、调阅和统计都变得非常方便，利用这些资源，有利于科室人员培训、研究创新、量化管理等工作开展。</w:t>
      </w:r>
    </w:p>
    <w:p>
      <w:pPr>
        <w:widowControl/>
        <w:spacing w:line="360" w:lineRule="auto"/>
        <w:ind w:firstLine="480" w:firstLineChars="200"/>
        <w:jc w:val="left"/>
        <w:rPr>
          <w:sz w:val="24"/>
          <w:szCs w:val="24"/>
        </w:rPr>
      </w:pPr>
      <w:r>
        <w:rPr>
          <w:sz w:val="24"/>
          <w:szCs w:val="24"/>
        </w:rPr>
        <w:t>7、心电管理质控平台，通过心电网络系统规范化全院心电检查流程，通过统计分析为心电质控提供相应数据支持。</w:t>
      </w:r>
    </w:p>
    <w:p>
      <w:pPr>
        <w:pStyle w:val="2"/>
        <w:numPr>
          <w:ilvl w:val="0"/>
          <w:numId w:val="1"/>
        </w:numPr>
      </w:pPr>
      <w:r>
        <w:t>系统要求</w:t>
      </w:r>
    </w:p>
    <w:p>
      <w:pPr>
        <w:widowControl/>
        <w:spacing w:line="360" w:lineRule="auto"/>
        <w:ind w:firstLine="480" w:firstLineChars="200"/>
        <w:jc w:val="left"/>
        <w:rPr>
          <w:sz w:val="24"/>
          <w:szCs w:val="24"/>
        </w:rPr>
      </w:pPr>
      <w:r>
        <w:rPr>
          <w:sz w:val="24"/>
          <w:szCs w:val="24"/>
        </w:rPr>
        <w:t>1、产品的投标资格认证：所投产品符合国家有关管理法规</w:t>
      </w:r>
    </w:p>
    <w:p>
      <w:pPr>
        <w:widowControl/>
        <w:spacing w:line="360" w:lineRule="auto"/>
        <w:ind w:firstLine="480" w:firstLineChars="200"/>
        <w:jc w:val="left"/>
        <w:rPr>
          <w:sz w:val="24"/>
          <w:szCs w:val="24"/>
        </w:rPr>
      </w:pPr>
      <w:r>
        <w:rPr>
          <w:rFonts w:hint="eastAsia"/>
          <w:sz w:val="24"/>
          <w:szCs w:val="24"/>
        </w:rPr>
        <w:t>2</w:t>
      </w:r>
      <w:r>
        <w:rPr>
          <w:sz w:val="24"/>
          <w:szCs w:val="24"/>
        </w:rPr>
        <w:t>、系统数据传输全面支持FDA所制定的XML格式为架构心电图传输标准，HL7标准的集成标准。扩展性好，性能稳定、高效，采用成熟软件开发技术。</w:t>
      </w:r>
    </w:p>
    <w:p>
      <w:pPr>
        <w:widowControl/>
        <w:spacing w:line="360" w:lineRule="auto"/>
        <w:ind w:firstLine="480" w:firstLineChars="200"/>
        <w:jc w:val="left"/>
        <w:rPr>
          <w:sz w:val="24"/>
          <w:szCs w:val="24"/>
        </w:rPr>
      </w:pPr>
      <w:r>
        <w:rPr>
          <w:sz w:val="24"/>
          <w:szCs w:val="24"/>
        </w:rPr>
        <w:t>4、系统接口必须满足招标方设备品牌的全覆盖，能够支持现有各种数字接口设备数字化采集、统一存储、管理，保证今后扩增引进设备有效接入。</w:t>
      </w:r>
    </w:p>
    <w:p>
      <w:pPr>
        <w:widowControl/>
        <w:spacing w:line="360" w:lineRule="auto"/>
        <w:ind w:firstLine="480" w:firstLineChars="200"/>
        <w:jc w:val="left"/>
        <w:rPr>
          <w:sz w:val="24"/>
          <w:szCs w:val="24"/>
        </w:rPr>
      </w:pPr>
      <w:r>
        <w:rPr>
          <w:sz w:val="24"/>
          <w:szCs w:val="24"/>
        </w:rPr>
        <w:t>5、系统安装后，培训招标方正确使用、管理和维护应用软件和硬件，解决应用运行过程中出现的问题，保证应用正常稳定运行。</w:t>
      </w:r>
    </w:p>
    <w:p>
      <w:pPr>
        <w:pStyle w:val="2"/>
        <w:numPr>
          <w:ilvl w:val="0"/>
          <w:numId w:val="1"/>
        </w:numPr>
      </w:pPr>
      <w:r>
        <w:t>技术参数</w:t>
      </w:r>
    </w:p>
    <w:p>
      <w:pPr>
        <w:pStyle w:val="3"/>
        <w:spacing w:before="0" w:after="0" w:line="360" w:lineRule="auto"/>
        <w:rPr>
          <w:rFonts w:ascii="Times New Roman" w:hAnsi="Times New Roman"/>
        </w:rPr>
      </w:pPr>
      <w:r>
        <w:rPr>
          <w:rFonts w:ascii="Times New Roman" w:hAnsi="Times New Roman"/>
        </w:rPr>
        <w:t>1、软件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63"/>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widowControl/>
              <w:jc w:val="center"/>
              <w:rPr>
                <w:b/>
                <w:bCs/>
                <w:szCs w:val="21"/>
              </w:rPr>
            </w:pPr>
            <w:r>
              <w:rPr>
                <w:b/>
                <w:bCs/>
                <w:szCs w:val="21"/>
              </w:rPr>
              <w:t>编号</w:t>
            </w:r>
          </w:p>
        </w:tc>
        <w:tc>
          <w:tcPr>
            <w:tcW w:w="1063" w:type="dxa"/>
            <w:vAlign w:val="center"/>
          </w:tcPr>
          <w:p>
            <w:pPr>
              <w:widowControl/>
              <w:jc w:val="center"/>
              <w:rPr>
                <w:b/>
                <w:bCs/>
                <w:szCs w:val="21"/>
              </w:rPr>
            </w:pPr>
            <w:r>
              <w:rPr>
                <w:b/>
                <w:bCs/>
                <w:szCs w:val="21"/>
              </w:rPr>
              <w:t>名称</w:t>
            </w:r>
          </w:p>
        </w:tc>
        <w:tc>
          <w:tcPr>
            <w:tcW w:w="6683" w:type="dxa"/>
            <w:vAlign w:val="center"/>
          </w:tcPr>
          <w:p>
            <w:pPr>
              <w:widowControl/>
              <w:jc w:val="center"/>
              <w:rPr>
                <w:b/>
                <w:bCs/>
                <w:szCs w:val="21"/>
              </w:rPr>
            </w:pPr>
            <w:r>
              <w:rPr>
                <w:b/>
                <w:bCs/>
                <w:szCs w:val="21"/>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vAlign w:val="center"/>
          </w:tcPr>
          <w:p>
            <w:pPr>
              <w:pStyle w:val="13"/>
              <w:numPr>
                <w:ilvl w:val="0"/>
                <w:numId w:val="3"/>
              </w:numPr>
              <w:ind w:left="0" w:firstLine="0" w:firstLineChars="0"/>
              <w:jc w:val="center"/>
              <w:rPr>
                <w:b/>
                <w:bCs/>
                <w:szCs w:val="21"/>
              </w:rPr>
            </w:pPr>
          </w:p>
        </w:tc>
        <w:tc>
          <w:tcPr>
            <w:tcW w:w="1063" w:type="dxa"/>
            <w:vAlign w:val="center"/>
          </w:tcPr>
          <w:p>
            <w:pPr>
              <w:jc w:val="center"/>
              <w:rPr>
                <w:b/>
                <w:bCs/>
                <w:szCs w:val="21"/>
              </w:rPr>
            </w:pPr>
            <w:r>
              <w:rPr>
                <w:b/>
                <w:bCs/>
                <w:szCs w:val="21"/>
              </w:rPr>
              <w:t>预约</w:t>
            </w:r>
            <w:r>
              <w:rPr>
                <w:rFonts w:hint="eastAsia"/>
                <w:b/>
                <w:bCs/>
                <w:szCs w:val="21"/>
              </w:rPr>
              <w:t>管理</w:t>
            </w:r>
          </w:p>
        </w:tc>
        <w:tc>
          <w:tcPr>
            <w:tcW w:w="6683" w:type="dxa"/>
          </w:tcPr>
          <w:p>
            <w:pPr>
              <w:pStyle w:val="13"/>
              <w:widowControl/>
              <w:numPr>
                <w:ilvl w:val="0"/>
                <w:numId w:val="4"/>
              </w:numPr>
              <w:ind w:firstLineChars="0"/>
              <w:jc w:val="left"/>
              <w:rPr>
                <w:bCs/>
                <w:szCs w:val="21"/>
              </w:rPr>
            </w:pPr>
            <w:r>
              <w:rPr>
                <w:bCs/>
                <w:szCs w:val="21"/>
              </w:rPr>
              <w:t>预约排队实现科室排班和病人预约管理。</w:t>
            </w:r>
          </w:p>
          <w:p>
            <w:pPr>
              <w:pStyle w:val="13"/>
              <w:widowControl/>
              <w:numPr>
                <w:ilvl w:val="0"/>
                <w:numId w:val="4"/>
              </w:numPr>
              <w:ind w:firstLineChars="0"/>
              <w:jc w:val="left"/>
              <w:rPr>
                <w:bCs/>
                <w:szCs w:val="21"/>
              </w:rPr>
            </w:pPr>
            <w:r>
              <w:rPr>
                <w:bCs/>
                <w:szCs w:val="21"/>
              </w:rPr>
              <w:t>支持诊室配置功能，如诊室名称、排序编号、默认诊室等，可对诊室进行添加或删除。</w:t>
            </w:r>
          </w:p>
          <w:p>
            <w:pPr>
              <w:pStyle w:val="13"/>
              <w:widowControl/>
              <w:numPr>
                <w:ilvl w:val="0"/>
                <w:numId w:val="4"/>
              </w:numPr>
              <w:ind w:firstLineChars="0"/>
              <w:jc w:val="left"/>
              <w:rPr>
                <w:bCs/>
                <w:szCs w:val="21"/>
              </w:rPr>
            </w:pPr>
            <w:r>
              <w:rPr>
                <w:bCs/>
                <w:szCs w:val="21"/>
              </w:rPr>
              <w:t>支持分诊配置功能，当就诊人数较多时，可通过分诊设置时段和人数。</w:t>
            </w:r>
          </w:p>
          <w:p>
            <w:pPr>
              <w:pStyle w:val="13"/>
              <w:widowControl/>
              <w:numPr>
                <w:ilvl w:val="0"/>
                <w:numId w:val="4"/>
              </w:numPr>
              <w:ind w:firstLineChars="0"/>
              <w:jc w:val="left"/>
              <w:rPr>
                <w:bCs/>
                <w:szCs w:val="21"/>
              </w:rPr>
            </w:pPr>
            <w:r>
              <w:rPr>
                <w:bCs/>
                <w:szCs w:val="21"/>
              </w:rPr>
              <w:t>支持加急，在预约列表中，可选择患者加急，对加急患者进行优先检查。</w:t>
            </w:r>
          </w:p>
          <w:p>
            <w:pPr>
              <w:pStyle w:val="13"/>
              <w:widowControl/>
              <w:numPr>
                <w:ilvl w:val="0"/>
                <w:numId w:val="4"/>
              </w:numPr>
              <w:ind w:firstLineChars="0"/>
              <w:jc w:val="left"/>
              <w:rPr>
                <w:bCs/>
                <w:szCs w:val="21"/>
              </w:rPr>
            </w:pPr>
            <w:r>
              <w:rPr>
                <w:bCs/>
                <w:szCs w:val="21"/>
              </w:rPr>
              <w:t>支持重新取号，在预约列表中，选择要换科室重打取号的病人，可以给病人重新取号。</w:t>
            </w:r>
          </w:p>
          <w:p>
            <w:pPr>
              <w:pStyle w:val="13"/>
              <w:widowControl/>
              <w:numPr>
                <w:ilvl w:val="0"/>
                <w:numId w:val="4"/>
              </w:numPr>
              <w:ind w:firstLineChars="0"/>
              <w:jc w:val="left"/>
              <w:rPr>
                <w:bCs/>
                <w:szCs w:val="21"/>
              </w:rPr>
            </w:pPr>
            <w:r>
              <w:rPr>
                <w:bCs/>
                <w:szCs w:val="21"/>
              </w:rPr>
              <w:t>支持激活功能，在预约列表中，可选择已过号的病人进行激活，可以使患者重新排队检查。</w:t>
            </w:r>
          </w:p>
          <w:p>
            <w:pPr>
              <w:pStyle w:val="13"/>
              <w:widowControl/>
              <w:numPr>
                <w:ilvl w:val="0"/>
                <w:numId w:val="4"/>
              </w:numPr>
              <w:ind w:firstLineChars="0"/>
              <w:jc w:val="left"/>
              <w:rPr>
                <w:bCs/>
                <w:szCs w:val="21"/>
              </w:rPr>
            </w:pPr>
            <w:r>
              <w:rPr>
                <w:bCs/>
                <w:szCs w:val="21"/>
              </w:rPr>
              <w:t>支持过号功能，在预约列表中，选择不需要检查的患者进行过号，可以使不需要检查的号码直接置为过号，不再对其进行叫号。</w:t>
            </w:r>
          </w:p>
          <w:p>
            <w:pPr>
              <w:pStyle w:val="13"/>
              <w:widowControl/>
              <w:numPr>
                <w:ilvl w:val="0"/>
                <w:numId w:val="4"/>
              </w:numPr>
              <w:ind w:firstLineChars="0"/>
              <w:jc w:val="left"/>
              <w:rPr>
                <w:bCs/>
                <w:szCs w:val="21"/>
              </w:rPr>
            </w:pPr>
            <w:r>
              <w:rPr>
                <w:bCs/>
                <w:szCs w:val="21"/>
              </w:rPr>
              <w:t>支持大屏幕显示和排队呼叫，系统自动语音呼叫并在屏幕显示待患者的基本信息，提醒患者做好检查准备。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20" w:type="dxa"/>
            <w:vAlign w:val="center"/>
          </w:tcPr>
          <w:p>
            <w:pPr>
              <w:pStyle w:val="13"/>
              <w:numPr>
                <w:ilvl w:val="0"/>
                <w:numId w:val="3"/>
              </w:numPr>
              <w:ind w:left="0" w:firstLine="0" w:firstLineChars="0"/>
              <w:jc w:val="center"/>
              <w:rPr>
                <w:b/>
                <w:bCs/>
                <w:szCs w:val="21"/>
              </w:rPr>
            </w:pPr>
          </w:p>
        </w:tc>
        <w:tc>
          <w:tcPr>
            <w:tcW w:w="1063" w:type="dxa"/>
            <w:vAlign w:val="center"/>
          </w:tcPr>
          <w:p>
            <w:pPr>
              <w:jc w:val="center"/>
              <w:rPr>
                <w:b/>
                <w:bCs/>
                <w:szCs w:val="21"/>
              </w:rPr>
            </w:pPr>
            <w:r>
              <w:rPr>
                <w:b/>
                <w:bCs/>
                <w:szCs w:val="21"/>
              </w:rPr>
              <w:t>检查管理</w:t>
            </w:r>
          </w:p>
        </w:tc>
        <w:tc>
          <w:tcPr>
            <w:tcW w:w="6683" w:type="dxa"/>
          </w:tcPr>
          <w:p>
            <w:pPr>
              <w:pStyle w:val="13"/>
              <w:widowControl/>
              <w:numPr>
                <w:ilvl w:val="0"/>
                <w:numId w:val="5"/>
              </w:numPr>
              <w:ind w:firstLineChars="0"/>
              <w:jc w:val="left"/>
              <w:rPr>
                <w:szCs w:val="21"/>
              </w:rPr>
            </w:pPr>
            <w:r>
              <w:rPr>
                <w:szCs w:val="21"/>
              </w:rPr>
              <w:t>支持检查预约查询，医生可以根据自己的习惯，设置查询条件，进行查找和管理。查找条件包括病人号、住院号、门诊号、姓名、检查项目、临床诊断、预约日期等。</w:t>
            </w:r>
          </w:p>
          <w:p>
            <w:pPr>
              <w:pStyle w:val="13"/>
              <w:widowControl/>
              <w:numPr>
                <w:ilvl w:val="0"/>
                <w:numId w:val="5"/>
              </w:numPr>
              <w:ind w:firstLineChars="0"/>
              <w:jc w:val="left"/>
              <w:rPr>
                <w:szCs w:val="21"/>
              </w:rPr>
            </w:pPr>
            <w:r>
              <w:rPr>
                <w:szCs w:val="21"/>
              </w:rPr>
              <w:t>检查预约管理，支持对预约数据进行新建、快速检查、修改、删除、检查、独立报告、打开报告等功能。</w:t>
            </w:r>
          </w:p>
          <w:p>
            <w:pPr>
              <w:pStyle w:val="13"/>
              <w:widowControl/>
              <w:numPr>
                <w:ilvl w:val="0"/>
                <w:numId w:val="5"/>
              </w:numPr>
              <w:ind w:firstLineChars="0"/>
              <w:jc w:val="left"/>
              <w:rPr>
                <w:szCs w:val="21"/>
              </w:rPr>
            </w:pPr>
            <w:r>
              <w:rPr>
                <w:szCs w:val="21"/>
              </w:rPr>
              <w:t>支持对</w:t>
            </w:r>
            <w:r>
              <w:rPr>
                <w:rFonts w:hint="eastAsia"/>
                <w:szCs w:val="21"/>
              </w:rPr>
              <w:t>静态</w:t>
            </w:r>
            <w:r>
              <w:rPr>
                <w:szCs w:val="21"/>
              </w:rPr>
              <w:t>心电、电生理检查的预约管理，包括新增预约记录、修改预约、提交申请单等。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20" w:type="dxa"/>
            <w:vAlign w:val="center"/>
          </w:tcPr>
          <w:p>
            <w:pPr>
              <w:pStyle w:val="13"/>
              <w:numPr>
                <w:ilvl w:val="0"/>
                <w:numId w:val="3"/>
              </w:numPr>
              <w:ind w:left="0" w:firstLine="0" w:firstLineChars="0"/>
              <w:jc w:val="center"/>
              <w:rPr>
                <w:b/>
                <w:bCs/>
                <w:szCs w:val="21"/>
              </w:rPr>
            </w:pPr>
          </w:p>
        </w:tc>
        <w:tc>
          <w:tcPr>
            <w:tcW w:w="1063" w:type="dxa"/>
            <w:vAlign w:val="center"/>
          </w:tcPr>
          <w:p>
            <w:pPr>
              <w:jc w:val="center"/>
              <w:rPr>
                <w:b/>
                <w:bCs/>
                <w:szCs w:val="21"/>
              </w:rPr>
            </w:pPr>
            <w:r>
              <w:rPr>
                <w:rFonts w:hint="eastAsia"/>
                <w:b/>
                <w:bCs/>
                <w:szCs w:val="21"/>
              </w:rPr>
              <w:t>诊断管理</w:t>
            </w:r>
          </w:p>
        </w:tc>
        <w:tc>
          <w:tcPr>
            <w:tcW w:w="6683" w:type="dxa"/>
            <w:tcBorders>
              <w:bottom w:val="single" w:color="auto" w:sz="4" w:space="0"/>
            </w:tcBorders>
          </w:tcPr>
          <w:p>
            <w:pPr>
              <w:pStyle w:val="13"/>
              <w:widowControl/>
              <w:numPr>
                <w:ilvl w:val="0"/>
                <w:numId w:val="6"/>
              </w:numPr>
              <w:ind w:firstLineChars="0"/>
              <w:jc w:val="left"/>
              <w:rPr>
                <w:szCs w:val="21"/>
              </w:rPr>
            </w:pPr>
            <w:r>
              <w:rPr>
                <w:szCs w:val="21"/>
              </w:rPr>
              <w:t>Web终端浏览可查看原始数据，调整走速和增益，支持全院数据共享。</w:t>
            </w:r>
          </w:p>
          <w:p>
            <w:pPr>
              <w:pStyle w:val="13"/>
              <w:widowControl/>
              <w:numPr>
                <w:ilvl w:val="0"/>
                <w:numId w:val="6"/>
              </w:numPr>
              <w:ind w:firstLineChars="0"/>
              <w:jc w:val="left"/>
              <w:rPr>
                <w:szCs w:val="21"/>
              </w:rPr>
            </w:pPr>
            <w:r>
              <w:rPr>
                <w:rFonts w:hint="eastAsia"/>
                <w:szCs w:val="21"/>
              </w:rPr>
              <w:t>▲支持病历收藏，医生可选择收藏患者病历，放入对应的收藏夹中，可添加收藏备注。【提供病例收藏功能经医疗器械注册的证明文件】</w:t>
            </w:r>
          </w:p>
          <w:p>
            <w:pPr>
              <w:pStyle w:val="13"/>
              <w:widowControl/>
              <w:numPr>
                <w:ilvl w:val="0"/>
                <w:numId w:val="6"/>
              </w:numPr>
              <w:ind w:firstLineChars="0"/>
              <w:jc w:val="left"/>
              <w:rPr>
                <w:szCs w:val="21"/>
              </w:rPr>
            </w:pPr>
            <w:r>
              <w:rPr>
                <w:rFonts w:hint="eastAsia"/>
                <w:szCs w:val="21"/>
              </w:rPr>
              <w:t>▲支持质控病例，医生可设置质控查询条件，对诊断组和平台中的所有数据进行质控分析。【提供质控病例功能经医疗器械注册的证明文件】</w:t>
            </w:r>
          </w:p>
          <w:p>
            <w:pPr>
              <w:pStyle w:val="13"/>
              <w:widowControl/>
              <w:numPr>
                <w:ilvl w:val="0"/>
                <w:numId w:val="6"/>
              </w:numPr>
              <w:ind w:firstLineChars="0"/>
              <w:jc w:val="left"/>
              <w:rPr>
                <w:szCs w:val="21"/>
              </w:rPr>
            </w:pPr>
            <w:r>
              <w:rPr>
                <w:rFonts w:hint="eastAsia"/>
                <w:szCs w:val="21"/>
              </w:rPr>
              <w:t>支持随访病历管理，具备登记随访和查看报告功能，根据随访登记信息，可查询出登记的报告数据。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720" w:type="dxa"/>
            <w:vAlign w:val="center"/>
          </w:tcPr>
          <w:p>
            <w:pPr>
              <w:pStyle w:val="13"/>
              <w:numPr>
                <w:ilvl w:val="0"/>
                <w:numId w:val="3"/>
              </w:numPr>
              <w:ind w:left="0" w:firstLine="0" w:firstLineChars="0"/>
              <w:jc w:val="center"/>
              <w:rPr>
                <w:b/>
                <w:bCs/>
                <w:szCs w:val="21"/>
              </w:rPr>
            </w:pPr>
          </w:p>
        </w:tc>
        <w:tc>
          <w:tcPr>
            <w:tcW w:w="1063" w:type="dxa"/>
            <w:vAlign w:val="center"/>
          </w:tcPr>
          <w:p>
            <w:pPr>
              <w:jc w:val="center"/>
              <w:rPr>
                <w:b/>
                <w:bCs/>
                <w:szCs w:val="21"/>
              </w:rPr>
            </w:pPr>
            <w:r>
              <w:rPr>
                <w:rFonts w:hint="eastAsia"/>
                <w:b/>
                <w:bCs/>
                <w:szCs w:val="21"/>
              </w:rPr>
              <w:t>报告分析</w:t>
            </w:r>
          </w:p>
        </w:tc>
        <w:tc>
          <w:tcPr>
            <w:tcW w:w="6683" w:type="dxa"/>
            <w:tcBorders>
              <w:top w:val="single" w:color="auto" w:sz="4" w:space="0"/>
            </w:tcBorders>
          </w:tcPr>
          <w:p>
            <w:pPr>
              <w:pStyle w:val="13"/>
              <w:widowControl/>
              <w:numPr>
                <w:ilvl w:val="0"/>
                <w:numId w:val="7"/>
              </w:numPr>
              <w:ind w:firstLineChars="0"/>
              <w:jc w:val="left"/>
              <w:rPr>
                <w:bCs/>
                <w:szCs w:val="21"/>
              </w:rPr>
            </w:pPr>
            <w:r>
              <w:rPr>
                <w:szCs w:val="21"/>
              </w:rPr>
              <w:t>▲</w:t>
            </w:r>
            <w:r>
              <w:rPr>
                <w:bCs/>
                <w:szCs w:val="21"/>
              </w:rPr>
              <w:t>支持叠加波分析，可对所有导联心搏进行叠加趋势分析。【提供叠加波功能经医疗器械注册的证明文件】</w:t>
            </w:r>
          </w:p>
          <w:p>
            <w:pPr>
              <w:pStyle w:val="13"/>
              <w:numPr>
                <w:ilvl w:val="0"/>
                <w:numId w:val="7"/>
              </w:numPr>
              <w:ind w:firstLineChars="0"/>
              <w:rPr>
                <w:bCs/>
                <w:szCs w:val="21"/>
              </w:rPr>
            </w:pPr>
            <w:r>
              <w:rPr>
                <w:bCs/>
                <w:szCs w:val="21"/>
              </w:rPr>
              <w:t>▲支持心电向量、心室晚电位、心率变异等分析功能。【提供心电向量、心室晚电位、心率变异功能经医疗器械注册的证明文件】</w:t>
            </w:r>
          </w:p>
          <w:p>
            <w:pPr>
              <w:pStyle w:val="13"/>
              <w:numPr>
                <w:ilvl w:val="0"/>
                <w:numId w:val="7"/>
              </w:numPr>
              <w:ind w:firstLineChars="0"/>
              <w:rPr>
                <w:bCs/>
                <w:szCs w:val="21"/>
              </w:rPr>
            </w:pPr>
            <w:r>
              <w:rPr>
                <w:bCs/>
                <w:szCs w:val="21"/>
              </w:rPr>
              <w:t>▲支持阿托品等药物试验功能，可显示药物试验条件下的数据、绘制心率变化曲线以及导联波形。【提供阿托品药物试验功能经医疗器械注册的证明文件】</w:t>
            </w:r>
          </w:p>
          <w:p>
            <w:pPr>
              <w:pStyle w:val="13"/>
              <w:widowControl/>
              <w:numPr>
                <w:ilvl w:val="0"/>
                <w:numId w:val="7"/>
              </w:numPr>
              <w:ind w:firstLineChars="0"/>
              <w:jc w:val="left"/>
              <w:rPr>
                <w:szCs w:val="21"/>
              </w:rPr>
            </w:pPr>
            <w:r>
              <w:rPr>
                <w:szCs w:val="21"/>
              </w:rPr>
              <w:t>支持导联纠错功能，心电图数据因为导联接反或者胸导联接错位置而导致数据不对，无需重新采集病人数据，可以通过软件进行纠正。【提供</w:t>
            </w:r>
            <w:r>
              <w:rPr>
                <w:bCs/>
                <w:szCs w:val="21"/>
              </w:rPr>
              <w:t>心电图导联错接纠正自主</w:t>
            </w:r>
            <w:r>
              <w:rPr>
                <w:szCs w:val="21"/>
              </w:rPr>
              <w:t>知识产权证明文件】</w:t>
            </w:r>
          </w:p>
          <w:p>
            <w:pPr>
              <w:pStyle w:val="13"/>
              <w:widowControl/>
              <w:numPr>
                <w:ilvl w:val="0"/>
                <w:numId w:val="7"/>
              </w:numPr>
              <w:ind w:firstLineChars="0"/>
              <w:jc w:val="left"/>
              <w:rPr>
                <w:szCs w:val="21"/>
              </w:rPr>
            </w:pPr>
            <w:r>
              <w:rPr>
                <w:szCs w:val="21"/>
              </w:rPr>
              <w:t>▲支持漏诊提示，对心电图因显示分辨率问题导致的可能被疏忽的细节异常进行提示，防止造成漏诊。【提供</w:t>
            </w:r>
            <w:r>
              <w:rPr>
                <w:bCs/>
                <w:szCs w:val="21"/>
              </w:rPr>
              <w:t>避免显示导致漏诊自主</w:t>
            </w:r>
            <w:r>
              <w:rPr>
                <w:szCs w:val="21"/>
              </w:rPr>
              <w:t>知识产权证明文件】</w:t>
            </w:r>
          </w:p>
          <w:p>
            <w:pPr>
              <w:pStyle w:val="13"/>
              <w:numPr>
                <w:ilvl w:val="0"/>
                <w:numId w:val="7"/>
              </w:numPr>
              <w:ind w:firstLineChars="0"/>
              <w:rPr>
                <w:szCs w:val="21"/>
              </w:rPr>
            </w:pPr>
            <w:r>
              <w:rPr>
                <w:szCs w:val="21"/>
              </w:rPr>
              <w:t>▲梯形图生成技术【提供梯形图功能经医疗器械注册的证明文件】。</w:t>
            </w:r>
          </w:p>
          <w:p>
            <w:pPr>
              <w:pStyle w:val="13"/>
              <w:widowControl/>
              <w:numPr>
                <w:ilvl w:val="0"/>
                <w:numId w:val="7"/>
              </w:numPr>
              <w:ind w:firstLineChars="0"/>
              <w:jc w:val="left"/>
              <w:rPr>
                <w:bCs/>
                <w:szCs w:val="21"/>
              </w:rPr>
            </w:pPr>
            <w:r>
              <w:rPr>
                <w:bCs/>
                <w:szCs w:val="21"/>
              </w:rPr>
              <w:t>支持对比图谱功能，可根据姓名、门诊号、住院号、检查时间自动筛选出同一患者多次检查的心电图，并将多次检查的心电图、检查时间、诊断结论等在同一屏幕显示。【</w:t>
            </w:r>
            <w:r>
              <w:rPr>
                <w:szCs w:val="21"/>
              </w:rPr>
              <w:t>提供</w:t>
            </w:r>
            <w:r>
              <w:rPr>
                <w:bCs/>
                <w:szCs w:val="21"/>
              </w:rPr>
              <w:t>对比图谱功能经医疗器械注册的证明文件】</w:t>
            </w:r>
          </w:p>
          <w:p>
            <w:pPr>
              <w:pStyle w:val="13"/>
              <w:widowControl/>
              <w:numPr>
                <w:ilvl w:val="0"/>
                <w:numId w:val="7"/>
              </w:numPr>
              <w:ind w:firstLineChars="0"/>
              <w:jc w:val="left"/>
              <w:rPr>
                <w:bCs/>
                <w:szCs w:val="21"/>
              </w:rPr>
            </w:pPr>
            <w:r>
              <w:rPr>
                <w:rFonts w:hint="eastAsia"/>
                <w:bCs/>
                <w:szCs w:val="21"/>
              </w:rPr>
              <w:t>可依据检查报告自动诊断的结果进行预警</w:t>
            </w:r>
            <w:r>
              <w:rPr>
                <w:bCs/>
                <w:szCs w:val="21"/>
              </w:rPr>
              <w:t>。</w:t>
            </w:r>
            <w:r>
              <w:rPr>
                <w:rFonts w:hint="eastAsia"/>
                <w:bCs/>
                <w:szCs w:val="21"/>
              </w:rPr>
              <w:t>【提供检验报告复印件】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20" w:type="dxa"/>
            <w:vAlign w:val="center"/>
          </w:tcPr>
          <w:p>
            <w:pPr>
              <w:pStyle w:val="13"/>
              <w:numPr>
                <w:ilvl w:val="0"/>
                <w:numId w:val="3"/>
              </w:numPr>
              <w:ind w:left="0" w:firstLine="0" w:firstLineChars="0"/>
              <w:jc w:val="center"/>
              <w:rPr>
                <w:b/>
                <w:bCs/>
                <w:szCs w:val="21"/>
              </w:rPr>
            </w:pPr>
          </w:p>
        </w:tc>
        <w:tc>
          <w:tcPr>
            <w:tcW w:w="1063" w:type="dxa"/>
            <w:vAlign w:val="center"/>
          </w:tcPr>
          <w:p>
            <w:pPr>
              <w:jc w:val="center"/>
              <w:rPr>
                <w:b/>
                <w:bCs/>
                <w:szCs w:val="21"/>
              </w:rPr>
            </w:pPr>
            <w:r>
              <w:rPr>
                <w:rFonts w:hint="eastAsia"/>
                <w:b/>
                <w:bCs/>
                <w:szCs w:val="21"/>
              </w:rPr>
              <w:t>统计报表</w:t>
            </w:r>
          </w:p>
        </w:tc>
        <w:tc>
          <w:tcPr>
            <w:tcW w:w="6683" w:type="dxa"/>
          </w:tcPr>
          <w:p>
            <w:pPr>
              <w:pStyle w:val="13"/>
              <w:numPr>
                <w:ilvl w:val="0"/>
                <w:numId w:val="8"/>
              </w:numPr>
              <w:ind w:firstLineChars="0"/>
              <w:rPr>
                <w:bCs/>
                <w:szCs w:val="21"/>
              </w:rPr>
            </w:pPr>
            <w:r>
              <w:rPr>
                <w:bCs/>
                <w:szCs w:val="21"/>
              </w:rPr>
              <w:t>支持检查质量监管，根据不同检查日期对区域、社区、疑难会诊、会诊过程等方面进行统计，并可生成统计报表和统计图。</w:t>
            </w:r>
            <w:r>
              <w:rPr>
                <w:rFonts w:hint="eastAsia"/>
                <w:bCs/>
                <w:szCs w:val="21"/>
              </w:rPr>
              <w:t>【提供数据挖掘、分析及质控系统自主知识产权证明】</w:t>
            </w:r>
          </w:p>
          <w:p>
            <w:pPr>
              <w:pStyle w:val="13"/>
              <w:numPr>
                <w:ilvl w:val="0"/>
                <w:numId w:val="8"/>
              </w:numPr>
              <w:ind w:firstLineChars="0"/>
              <w:rPr>
                <w:bCs/>
                <w:szCs w:val="21"/>
              </w:rPr>
            </w:pPr>
            <w:r>
              <w:rPr>
                <w:bCs/>
                <w:szCs w:val="21"/>
              </w:rPr>
              <w:t>支持工作量统计，如医生每月检查数量、科室每月/每日检查数量进行统计分析。</w:t>
            </w:r>
          </w:p>
          <w:p>
            <w:pPr>
              <w:pStyle w:val="13"/>
              <w:numPr>
                <w:ilvl w:val="0"/>
                <w:numId w:val="8"/>
              </w:numPr>
              <w:ind w:firstLineChars="0"/>
              <w:rPr>
                <w:bCs/>
                <w:szCs w:val="21"/>
              </w:rPr>
            </w:pPr>
            <w:r>
              <w:rPr>
                <w:bCs/>
                <w:szCs w:val="21"/>
              </w:rPr>
              <w:t>支持科研统计，至少包含PR间期不同年龄段、P波不同年龄段及QRS分布等维度的统计分析。</w:t>
            </w:r>
          </w:p>
          <w:p>
            <w:pPr>
              <w:pStyle w:val="13"/>
              <w:numPr>
                <w:ilvl w:val="0"/>
                <w:numId w:val="8"/>
              </w:numPr>
              <w:ind w:firstLineChars="0"/>
              <w:rPr>
                <w:bCs/>
                <w:szCs w:val="21"/>
              </w:rPr>
            </w:pPr>
            <w:r>
              <w:rPr>
                <w:bCs/>
                <w:szCs w:val="21"/>
              </w:rPr>
              <w:t>支持统计数据输出为DBF、EXCEL、TXT、JPG等格式供第三方软件分析，能进行各种分类分项统计，提供各种统计报表样张。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20" w:type="dxa"/>
            <w:vAlign w:val="center"/>
          </w:tcPr>
          <w:p>
            <w:pPr>
              <w:pStyle w:val="13"/>
              <w:numPr>
                <w:ilvl w:val="0"/>
                <w:numId w:val="3"/>
              </w:numPr>
              <w:ind w:left="0" w:firstLine="0" w:firstLineChars="0"/>
              <w:jc w:val="center"/>
              <w:rPr>
                <w:b/>
                <w:bCs/>
                <w:szCs w:val="21"/>
              </w:rPr>
            </w:pPr>
          </w:p>
        </w:tc>
        <w:tc>
          <w:tcPr>
            <w:tcW w:w="1063" w:type="dxa"/>
            <w:vAlign w:val="center"/>
          </w:tcPr>
          <w:p>
            <w:pPr>
              <w:jc w:val="center"/>
              <w:rPr>
                <w:b/>
                <w:bCs/>
                <w:szCs w:val="21"/>
              </w:rPr>
            </w:pPr>
            <w:r>
              <w:rPr>
                <w:b/>
                <w:bCs/>
                <w:szCs w:val="21"/>
              </w:rPr>
              <w:t>移动会诊</w:t>
            </w:r>
          </w:p>
        </w:tc>
        <w:tc>
          <w:tcPr>
            <w:tcW w:w="6683" w:type="dxa"/>
          </w:tcPr>
          <w:p>
            <w:pPr>
              <w:pStyle w:val="13"/>
              <w:widowControl/>
              <w:numPr>
                <w:ilvl w:val="0"/>
                <w:numId w:val="9"/>
              </w:numPr>
              <w:ind w:firstLineChars="0"/>
              <w:jc w:val="left"/>
              <w:rPr>
                <w:bCs/>
                <w:szCs w:val="21"/>
              </w:rPr>
            </w:pPr>
            <w:r>
              <w:rPr>
                <w:bCs/>
                <w:szCs w:val="21"/>
              </w:rPr>
              <w:t>系统支持移动专家会诊，可在移动端浏览心电图原始波形，调整增益、走纸速度、显示模式，完成诊断报告。</w:t>
            </w:r>
          </w:p>
          <w:p>
            <w:pPr>
              <w:pStyle w:val="13"/>
              <w:widowControl/>
              <w:numPr>
                <w:ilvl w:val="0"/>
                <w:numId w:val="9"/>
              </w:numPr>
              <w:ind w:firstLineChars="0"/>
              <w:jc w:val="left"/>
              <w:rPr>
                <w:bCs/>
                <w:szCs w:val="21"/>
              </w:rPr>
            </w:pPr>
            <w:r>
              <w:rPr>
                <w:bCs/>
                <w:szCs w:val="21"/>
              </w:rPr>
              <w:t>会诊终端支持Android和iOS系统等各种品牌智能终端。</w:t>
            </w:r>
          </w:p>
          <w:p>
            <w:pPr>
              <w:pStyle w:val="13"/>
              <w:widowControl/>
              <w:numPr>
                <w:ilvl w:val="0"/>
                <w:numId w:val="9"/>
              </w:numPr>
              <w:ind w:firstLineChars="0"/>
              <w:jc w:val="left"/>
              <w:rPr>
                <w:bCs/>
                <w:szCs w:val="21"/>
              </w:rPr>
            </w:pPr>
            <w:r>
              <w:rPr>
                <w:bCs/>
                <w:szCs w:val="21"/>
              </w:rPr>
              <w:t>移动会诊可将心电数据通过网络分享到微信群或者专家的微信，寻求技术指导或典型数据分享。</w:t>
            </w:r>
          </w:p>
          <w:p>
            <w:pPr>
              <w:pStyle w:val="13"/>
              <w:numPr>
                <w:ilvl w:val="0"/>
                <w:numId w:val="9"/>
              </w:numPr>
              <w:ind w:firstLineChars="0"/>
              <w:jc w:val="left"/>
              <w:rPr>
                <w:bCs/>
                <w:szCs w:val="21"/>
              </w:rPr>
            </w:pPr>
            <w:r>
              <w:rPr>
                <w:bCs/>
                <w:szCs w:val="21"/>
              </w:rPr>
              <w:t>支持数据在微信中打开，需要显示原始数据，支持走速、增益的调整，并支持导联布局的切换。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20" w:type="dxa"/>
            <w:vAlign w:val="center"/>
          </w:tcPr>
          <w:p>
            <w:pPr>
              <w:pStyle w:val="13"/>
              <w:numPr>
                <w:ilvl w:val="0"/>
                <w:numId w:val="3"/>
              </w:numPr>
              <w:ind w:left="0" w:firstLine="0" w:firstLineChars="0"/>
              <w:jc w:val="center"/>
              <w:rPr>
                <w:b/>
                <w:bCs/>
                <w:color w:val="FF0000"/>
                <w:szCs w:val="21"/>
              </w:rPr>
            </w:pPr>
          </w:p>
        </w:tc>
        <w:tc>
          <w:tcPr>
            <w:tcW w:w="1063" w:type="dxa"/>
            <w:vAlign w:val="center"/>
          </w:tcPr>
          <w:p>
            <w:pPr>
              <w:jc w:val="center"/>
              <w:rPr>
                <w:b/>
                <w:bCs/>
                <w:color w:val="FF0000"/>
                <w:szCs w:val="21"/>
              </w:rPr>
            </w:pPr>
            <w:r>
              <w:rPr>
                <w:rFonts w:hint="eastAsia"/>
                <w:b/>
                <w:bCs/>
                <w:color w:val="FF0000"/>
                <w:szCs w:val="21"/>
              </w:rPr>
              <w:t>设备接入</w:t>
            </w:r>
          </w:p>
        </w:tc>
        <w:tc>
          <w:tcPr>
            <w:tcW w:w="6683" w:type="dxa"/>
          </w:tcPr>
          <w:p>
            <w:pPr>
              <w:pStyle w:val="13"/>
              <w:widowControl/>
              <w:numPr>
                <w:ilvl w:val="0"/>
                <w:numId w:val="10"/>
              </w:numPr>
              <w:ind w:firstLineChars="0"/>
              <w:jc w:val="left"/>
              <w:rPr>
                <w:bCs/>
                <w:color w:val="FF0000"/>
                <w:szCs w:val="21"/>
              </w:rPr>
            </w:pPr>
            <w:r>
              <w:rPr>
                <w:rFonts w:hint="eastAsia"/>
                <w:bCs/>
                <w:color w:val="FF0000"/>
                <w:szCs w:val="21"/>
              </w:rPr>
              <w:t>▲为充分利用现有设备，系统需具备第三方数字接口设备的接入能力，完成现有设备对接和管理。【提供通用接口交互管理系统软件自主知识产权证明】</w:t>
            </w:r>
          </w:p>
          <w:p>
            <w:pPr>
              <w:pStyle w:val="13"/>
              <w:widowControl/>
              <w:numPr>
                <w:ilvl w:val="0"/>
                <w:numId w:val="10"/>
              </w:numPr>
              <w:ind w:firstLineChars="0"/>
              <w:jc w:val="left"/>
              <w:rPr>
                <w:bCs/>
                <w:color w:val="FF0000"/>
                <w:szCs w:val="21"/>
              </w:rPr>
            </w:pPr>
            <w:r>
              <w:rPr>
                <w:rFonts w:hint="eastAsia"/>
                <w:bCs/>
                <w:color w:val="FF0000"/>
                <w:szCs w:val="21"/>
              </w:rPr>
              <w:t>根据临床实际需要，支持重新定义报告格式，并且可对其进行相应的统计分析。</w:t>
            </w:r>
          </w:p>
          <w:p>
            <w:pPr>
              <w:pStyle w:val="13"/>
              <w:widowControl/>
              <w:numPr>
                <w:ilvl w:val="0"/>
                <w:numId w:val="10"/>
              </w:numPr>
              <w:ind w:firstLineChars="0"/>
              <w:jc w:val="left"/>
              <w:rPr>
                <w:bCs/>
                <w:color w:val="FF0000"/>
                <w:szCs w:val="21"/>
              </w:rPr>
            </w:pPr>
            <w:r>
              <w:rPr>
                <w:rFonts w:hint="eastAsia"/>
                <w:bCs/>
                <w:color w:val="FF0000"/>
                <w:szCs w:val="21"/>
              </w:rPr>
              <w:t>支持接入设备的数据归档和管理。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20" w:type="dxa"/>
            <w:vAlign w:val="center"/>
          </w:tcPr>
          <w:p>
            <w:pPr>
              <w:pStyle w:val="13"/>
              <w:numPr>
                <w:ilvl w:val="0"/>
                <w:numId w:val="3"/>
              </w:numPr>
              <w:ind w:left="0" w:firstLine="0" w:firstLineChars="0"/>
              <w:jc w:val="center"/>
              <w:rPr>
                <w:b/>
                <w:bCs/>
                <w:szCs w:val="21"/>
              </w:rPr>
            </w:pPr>
          </w:p>
        </w:tc>
        <w:tc>
          <w:tcPr>
            <w:tcW w:w="1063" w:type="dxa"/>
            <w:vAlign w:val="center"/>
          </w:tcPr>
          <w:p>
            <w:pPr>
              <w:jc w:val="center"/>
              <w:rPr>
                <w:b/>
                <w:bCs/>
                <w:szCs w:val="21"/>
              </w:rPr>
            </w:pPr>
            <w:r>
              <w:rPr>
                <w:rFonts w:hint="eastAsia"/>
                <w:b/>
                <w:bCs/>
                <w:szCs w:val="21"/>
              </w:rPr>
              <w:t>系统集成</w:t>
            </w:r>
          </w:p>
        </w:tc>
        <w:tc>
          <w:tcPr>
            <w:tcW w:w="6683" w:type="dxa"/>
          </w:tcPr>
          <w:p>
            <w:pPr>
              <w:pStyle w:val="13"/>
              <w:widowControl/>
              <w:numPr>
                <w:ilvl w:val="0"/>
                <w:numId w:val="11"/>
              </w:numPr>
              <w:ind w:firstLineChars="0"/>
              <w:jc w:val="left"/>
              <w:rPr>
                <w:bCs/>
                <w:szCs w:val="21"/>
              </w:rPr>
            </w:pPr>
            <w:r>
              <w:rPr>
                <w:rFonts w:hint="eastAsia"/>
                <w:bCs/>
                <w:szCs w:val="21"/>
              </w:rPr>
              <w:t>支持与医院相关系统对接，可从对接系统中自动获取检查患者基本信息、交费信息、诊断信息、检查要求等。</w:t>
            </w:r>
          </w:p>
          <w:p>
            <w:pPr>
              <w:pStyle w:val="13"/>
              <w:widowControl/>
              <w:numPr>
                <w:ilvl w:val="0"/>
                <w:numId w:val="11"/>
              </w:numPr>
              <w:ind w:firstLineChars="0"/>
              <w:jc w:val="left"/>
              <w:rPr>
                <w:bCs/>
                <w:szCs w:val="21"/>
              </w:rPr>
            </w:pPr>
            <w:r>
              <w:rPr>
                <w:rFonts w:hint="eastAsia"/>
                <w:bCs/>
                <w:szCs w:val="21"/>
              </w:rPr>
              <w:t>支持第三方系统调阅心电图报告</w:t>
            </w:r>
            <w:r>
              <w:rPr>
                <w:rFonts w:hint="eastAsia"/>
                <w:bCs/>
                <w:szCs w:val="21"/>
              </w:rPr>
              <w:tab/>
            </w:r>
            <w:r>
              <w:rPr>
                <w:rFonts w:hint="eastAsia"/>
                <w:bCs/>
                <w:szCs w:val="21"/>
              </w:rPr>
              <w:t>，通过调用插件，可浏览并打印心电图报告。</w:t>
            </w:r>
          </w:p>
        </w:tc>
      </w:tr>
    </w:tbl>
    <w:p>
      <w:pPr>
        <w:pStyle w:val="2"/>
        <w:numPr>
          <w:ilvl w:val="0"/>
          <w:numId w:val="1"/>
        </w:numPr>
      </w:pPr>
      <w:r>
        <w:t>评分</w:t>
      </w:r>
      <w:r>
        <w:rPr>
          <w:rFonts w:hint="eastAsia"/>
        </w:rPr>
        <w:t>标准</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37" w:type="dxa"/>
            <w:tcBorders>
              <w:top w:val="single" w:color="auto" w:sz="4" w:space="0"/>
              <w:left w:val="single" w:color="auto" w:sz="4" w:space="0"/>
              <w:bottom w:val="single" w:color="auto" w:sz="4" w:space="0"/>
              <w:right w:val="single" w:color="auto" w:sz="4" w:space="0"/>
            </w:tcBorders>
            <w:vAlign w:val="center"/>
          </w:tcPr>
          <w:p>
            <w:pPr>
              <w:rPr>
                <w:b/>
              </w:rPr>
            </w:pPr>
            <w:r>
              <w:t>评分项目</w:t>
            </w:r>
          </w:p>
        </w:tc>
        <w:tc>
          <w:tcPr>
            <w:tcW w:w="6709" w:type="dxa"/>
            <w:tcBorders>
              <w:top w:val="single" w:color="auto" w:sz="4" w:space="0"/>
              <w:left w:val="single" w:color="auto" w:sz="4" w:space="0"/>
              <w:bottom w:val="single" w:color="auto" w:sz="4" w:space="0"/>
              <w:right w:val="single" w:color="auto" w:sz="4" w:space="0"/>
            </w:tcBorders>
            <w:vAlign w:val="center"/>
          </w:tcPr>
          <w:p>
            <w:pPr>
              <w:rPr>
                <w:b/>
              </w:rPr>
            </w:pPr>
            <w:r>
              <w:t>评分细则</w:t>
            </w:r>
          </w:p>
        </w:tc>
        <w:tc>
          <w:tcPr>
            <w:tcW w:w="1134" w:type="dxa"/>
            <w:tcBorders>
              <w:top w:val="single" w:color="auto" w:sz="4" w:space="0"/>
              <w:left w:val="single" w:color="auto" w:sz="4" w:space="0"/>
              <w:bottom w:val="single" w:color="auto" w:sz="4" w:space="0"/>
              <w:right w:val="single" w:color="auto" w:sz="4" w:space="0"/>
            </w:tcBorders>
            <w:vAlign w:val="center"/>
          </w:tcPr>
          <w:p>
            <w:pPr>
              <w:rPr>
                <w:b/>
              </w:rPr>
            </w:pPr>
            <w:r>
              <w:t>明细分值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37" w:type="dxa"/>
            <w:tcBorders>
              <w:top w:val="single" w:color="auto" w:sz="4" w:space="0"/>
              <w:left w:val="single" w:color="auto" w:sz="4" w:space="0"/>
              <w:bottom w:val="single" w:color="auto" w:sz="4" w:space="0"/>
              <w:right w:val="single" w:color="auto" w:sz="4" w:space="0"/>
            </w:tcBorders>
            <w:vAlign w:val="center"/>
          </w:tcPr>
          <w:p>
            <w:pPr>
              <w:rPr>
                <w:b/>
              </w:rPr>
            </w:pPr>
            <w:r>
              <w:t>投标报价    （30分）</w:t>
            </w:r>
          </w:p>
        </w:tc>
        <w:tc>
          <w:tcPr>
            <w:tcW w:w="6709" w:type="dxa"/>
            <w:tcBorders>
              <w:top w:val="single" w:color="auto" w:sz="4" w:space="0"/>
              <w:left w:val="single" w:color="auto" w:sz="4" w:space="0"/>
              <w:bottom w:val="single" w:color="auto" w:sz="4" w:space="0"/>
              <w:right w:val="single" w:color="auto" w:sz="4" w:space="0"/>
            </w:tcBorders>
          </w:tcPr>
          <w:p>
            <w:pPr>
              <w:rPr>
                <w:szCs w:val="21"/>
              </w:rPr>
            </w:pPr>
            <w:r>
              <w:rPr>
                <w:szCs w:val="21"/>
              </w:rPr>
              <w:t xml:space="preserve">1、评标基准价计算方法 </w:t>
            </w:r>
          </w:p>
          <w:p>
            <w:pPr>
              <w:ind w:firstLine="420" w:firstLineChars="200"/>
              <w:rPr>
                <w:szCs w:val="21"/>
              </w:rPr>
            </w:pPr>
            <w:r>
              <w:rPr>
                <w:szCs w:val="21"/>
              </w:rPr>
              <w:t xml:space="preserve">当有效投标报价大于等于 5 家时，评标基准价为所有参与投标报价评审的投标总价（不含增值税价）除去一个最高值和一个最低值后的算术平均值； </w:t>
            </w:r>
          </w:p>
          <w:p>
            <w:pPr>
              <w:ind w:firstLine="420" w:firstLineChars="200"/>
              <w:rPr>
                <w:szCs w:val="21"/>
              </w:rPr>
            </w:pPr>
            <w:r>
              <w:rPr>
                <w:szCs w:val="21"/>
              </w:rPr>
              <w:t xml:space="preserve">当有效投标报价小于 5 家时，评标基准价为所有参与投标报价评审的投标总价（不含增值税价）算术平均值； </w:t>
            </w:r>
          </w:p>
          <w:p>
            <w:pPr>
              <w:rPr>
                <w:szCs w:val="21"/>
              </w:rPr>
            </w:pPr>
            <w:r>
              <w:rPr>
                <w:szCs w:val="21"/>
              </w:rPr>
              <w:t xml:space="preserve">注：评标基准价（单位元）计算结果保留小数点后两位，小数点后第三位四舍五入。 </w:t>
            </w:r>
          </w:p>
          <w:p>
            <w:pPr>
              <w:rPr>
                <w:szCs w:val="21"/>
              </w:rPr>
            </w:pPr>
            <w:r>
              <w:rPr>
                <w:szCs w:val="21"/>
              </w:rPr>
              <w:t xml:space="preserve">2、投标报价的偏差率 </w:t>
            </w:r>
          </w:p>
          <w:p>
            <w:pPr>
              <w:ind w:firstLine="420" w:firstLineChars="200"/>
              <w:rPr>
                <w:szCs w:val="21"/>
              </w:rPr>
            </w:pPr>
            <w:r>
              <w:rPr>
                <w:szCs w:val="21"/>
              </w:rPr>
              <w:t xml:space="preserve">计算公式： 偏差率=100%×（投标总价（不含增值税价）- 评标基准价）/ 评标基准价 </w:t>
            </w:r>
          </w:p>
          <w:p>
            <w:pPr>
              <w:ind w:firstLine="420" w:firstLineChars="200"/>
              <w:rPr>
                <w:szCs w:val="21"/>
              </w:rPr>
            </w:pPr>
            <w:r>
              <w:rPr>
                <w:szCs w:val="21"/>
              </w:rPr>
              <w:t xml:space="preserve">注：百分率计算结果保留小数点后两位，小数点后第三位四舍五入，即为*.**%。 </w:t>
            </w:r>
          </w:p>
          <w:p>
            <w:pPr>
              <w:rPr>
                <w:szCs w:val="21"/>
              </w:rPr>
            </w:pPr>
            <w:r>
              <w:rPr>
                <w:szCs w:val="21"/>
              </w:rPr>
              <w:t xml:space="preserve">3、投标总价与评标基准价相比，投标总价等于评标基准价的得 30 分； </w:t>
            </w:r>
          </w:p>
          <w:p>
            <w:pPr>
              <w:rPr>
                <w:szCs w:val="21"/>
              </w:rPr>
            </w:pPr>
            <w:r>
              <w:rPr>
                <w:szCs w:val="21"/>
              </w:rPr>
              <w:t xml:space="preserve">（1）偏差率≥0 时：投标报价得分=30-0.4×偏差率×100； </w:t>
            </w:r>
          </w:p>
          <w:p>
            <w:pPr>
              <w:rPr>
                <w:szCs w:val="21"/>
              </w:rPr>
            </w:pPr>
            <w:r>
              <w:rPr>
                <w:szCs w:val="21"/>
              </w:rPr>
              <w:t xml:space="preserve">（2）偏差率＜0 时：投标报价得分=30+0.2×偏差率×100。 </w:t>
            </w:r>
          </w:p>
          <w:p>
            <w:pPr>
              <w:rPr>
                <w:b/>
              </w:rPr>
            </w:pPr>
            <w:r>
              <w:rPr>
                <w:szCs w:val="21"/>
              </w:rPr>
              <w:t>注：投标报价不得负分。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rPr>
            </w:pPr>
            <w: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37" w:type="dxa"/>
            <w:vMerge w:val="restart"/>
            <w:tcBorders>
              <w:top w:val="single" w:color="auto" w:sz="4" w:space="0"/>
              <w:left w:val="single" w:color="auto" w:sz="4" w:space="0"/>
              <w:right w:val="single" w:color="auto" w:sz="4" w:space="0"/>
            </w:tcBorders>
            <w:vAlign w:val="center"/>
          </w:tcPr>
          <w:p>
            <w:r>
              <w:t>技术部分</w:t>
            </w:r>
          </w:p>
          <w:p>
            <w:pPr>
              <w:rPr>
                <w:b/>
              </w:rPr>
            </w:pPr>
            <w:r>
              <w:t>（50分）</w:t>
            </w:r>
          </w:p>
        </w:tc>
        <w:tc>
          <w:tcPr>
            <w:tcW w:w="6709" w:type="dxa"/>
            <w:tcBorders>
              <w:top w:val="single" w:color="auto" w:sz="4" w:space="0"/>
              <w:left w:val="single" w:color="auto" w:sz="4" w:space="0"/>
              <w:bottom w:val="single" w:color="auto" w:sz="4" w:space="0"/>
              <w:right w:val="single" w:color="auto" w:sz="4" w:space="0"/>
            </w:tcBorders>
          </w:tcPr>
          <w:p>
            <w:pPr>
              <w:pStyle w:val="13"/>
              <w:numPr>
                <w:ilvl w:val="0"/>
                <w:numId w:val="12"/>
              </w:numPr>
              <w:ind w:firstLineChars="0"/>
            </w:pPr>
            <w:r>
              <w:t>技术参数响应。“▲”条款不符合每条扣5分，普通参数每条不符合扣2分</w:t>
            </w:r>
            <w:r>
              <w:rPr>
                <w:rFonts w:hint="eastAsia"/>
              </w:rPr>
              <w:t>，扣完为止</w:t>
            </w:r>
            <w:r>
              <w:t>。</w:t>
            </w:r>
          </w:p>
          <w:p>
            <w:pPr>
              <w:pStyle w:val="13"/>
              <w:ind w:left="420" w:firstLine="0" w:firstLineChars="0"/>
            </w:pPr>
            <w:r>
              <w:t>注：投标人须按照招标技术参数明确的要求提供相应证明材料，若未按照要求提供或提供不全，评标委员会按照负偏离进行扣分。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rPr>
              <w:t>35</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37" w:type="dxa"/>
            <w:vMerge w:val="continue"/>
            <w:tcBorders>
              <w:left w:val="single" w:color="auto" w:sz="4" w:space="0"/>
              <w:right w:val="single" w:color="auto" w:sz="4" w:space="0"/>
            </w:tcBorders>
            <w:vAlign w:val="center"/>
          </w:tcPr>
          <w:p/>
        </w:tc>
        <w:tc>
          <w:tcPr>
            <w:tcW w:w="6709" w:type="dxa"/>
            <w:tcBorders>
              <w:top w:val="single" w:color="auto" w:sz="4" w:space="0"/>
              <w:left w:val="single" w:color="auto" w:sz="4" w:space="0"/>
              <w:bottom w:val="single" w:color="auto" w:sz="4" w:space="0"/>
              <w:right w:val="single" w:color="auto" w:sz="4" w:space="0"/>
            </w:tcBorders>
          </w:tcPr>
          <w:p>
            <w:pPr>
              <w:pStyle w:val="13"/>
              <w:numPr>
                <w:ilvl w:val="0"/>
                <w:numId w:val="12"/>
              </w:numPr>
              <w:ind w:firstLineChars="0"/>
            </w:pPr>
            <w:r>
              <w:t>技术实力。</w:t>
            </w:r>
          </w:p>
          <w:p>
            <w:pPr>
              <w:pStyle w:val="13"/>
              <w:ind w:left="420" w:firstLine="0" w:firstLineChars="0"/>
            </w:pPr>
            <w:r>
              <w:t>具有全导联起搏检测功能。需要提供国家药品监督管理局直属检测单位签发的检测报告。提供检测报告复印件得5分，不提供不得分。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37" w:type="dxa"/>
            <w:vMerge w:val="continue"/>
            <w:tcBorders>
              <w:left w:val="single" w:color="auto" w:sz="4" w:space="0"/>
              <w:right w:val="single" w:color="auto" w:sz="4" w:space="0"/>
            </w:tcBorders>
            <w:vAlign w:val="center"/>
          </w:tcPr>
          <w:p/>
        </w:tc>
        <w:tc>
          <w:tcPr>
            <w:tcW w:w="6709" w:type="dxa"/>
            <w:tcBorders>
              <w:top w:val="single" w:color="auto" w:sz="4" w:space="0"/>
              <w:left w:val="single" w:color="auto" w:sz="4" w:space="0"/>
              <w:bottom w:val="single" w:color="auto" w:sz="4" w:space="0"/>
              <w:right w:val="single" w:color="auto" w:sz="4" w:space="0"/>
            </w:tcBorders>
          </w:tcPr>
          <w:p>
            <w:pPr>
              <w:pStyle w:val="13"/>
              <w:numPr>
                <w:ilvl w:val="0"/>
                <w:numId w:val="12"/>
              </w:numPr>
              <w:ind w:firstLineChars="0"/>
            </w:pPr>
            <w:r>
              <w:rPr>
                <w:rFonts w:hint="eastAsia"/>
              </w:rPr>
              <w:t>产品资质。系统通过</w:t>
            </w:r>
            <w:r>
              <w:t>IHE</w:t>
            </w:r>
            <w:r>
              <w:rPr>
                <w:rFonts w:hint="eastAsia"/>
              </w:rPr>
              <w:t>数字心电诊断系统集成模式和功能角色的专项测试，集成模式至少包含</w:t>
            </w:r>
            <w:r>
              <w:t>REWF</w:t>
            </w:r>
            <w:r>
              <w:rPr>
                <w:rFonts w:hint="eastAsia"/>
              </w:rPr>
              <w:t>、</w:t>
            </w:r>
            <w:r>
              <w:t>ECG</w:t>
            </w:r>
            <w:r>
              <w:rPr>
                <w:rFonts w:hint="eastAsia"/>
              </w:rPr>
              <w:t>、</w:t>
            </w:r>
            <w:r>
              <w:t>DRPT</w:t>
            </w:r>
            <w:r>
              <w:rPr>
                <w:rFonts w:hint="eastAsia"/>
              </w:rPr>
              <w:t>等</w:t>
            </w:r>
            <w:r>
              <w:t>3</w:t>
            </w:r>
            <w:r>
              <w:rPr>
                <w:rFonts w:hint="eastAsia"/>
              </w:rPr>
              <w:t>类，功能角色至少包含</w:t>
            </w:r>
            <w:r>
              <w:t>EC</w:t>
            </w:r>
            <w:r>
              <w:rPr>
                <w:rFonts w:hint="eastAsia"/>
              </w:rPr>
              <w:t>、</w:t>
            </w:r>
            <w:r>
              <w:t>ID</w:t>
            </w:r>
            <w:r>
              <w:rPr>
                <w:rFonts w:hint="eastAsia"/>
              </w:rPr>
              <w:t>、</w:t>
            </w:r>
            <w:r>
              <w:t>INTEGRATED-ECG-MANAGER</w:t>
            </w:r>
            <w:r>
              <w:rPr>
                <w:rFonts w:hint="eastAsia"/>
              </w:rPr>
              <w:t>、</w:t>
            </w:r>
            <w:r>
              <w:t>INFO_SRC</w:t>
            </w:r>
            <w:r>
              <w:rPr>
                <w:rFonts w:hint="eastAsia"/>
              </w:rPr>
              <w:t>、</w:t>
            </w:r>
            <w:r>
              <w:t>Integrated Report Manager/Repository</w:t>
            </w:r>
            <w:r>
              <w:rPr>
                <w:rFonts w:hint="eastAsia"/>
              </w:rPr>
              <w:t>等</w:t>
            </w:r>
            <w:r>
              <w:t>5</w:t>
            </w:r>
            <w:r>
              <w:rPr>
                <w:rFonts w:hint="eastAsia"/>
              </w:rPr>
              <w:t>种，提供产品供应商获得的由中国医学装备协会医学装备信息交互与集成分会颁发的“</w:t>
            </w:r>
            <w:r>
              <w:t>IHE</w:t>
            </w:r>
            <w:r>
              <w:rPr>
                <w:rFonts w:hint="eastAsia"/>
              </w:rPr>
              <w:t>中国测试系统通过证书”复印件得</w:t>
            </w:r>
            <w:r>
              <w:t>5</w:t>
            </w:r>
            <w:r>
              <w:rPr>
                <w:rFonts w:hint="eastAsia"/>
              </w:rPr>
              <w:t>分，部分通过得</w:t>
            </w:r>
            <w:r>
              <w:t>2</w:t>
            </w:r>
            <w:r>
              <w:rPr>
                <w:rFonts w:hint="eastAsia"/>
              </w:rPr>
              <w:t>分，其他得</w:t>
            </w:r>
            <w:r>
              <w:t>0</w:t>
            </w:r>
            <w:r>
              <w:rPr>
                <w:rFonts w:hint="eastAsia"/>
              </w:rPr>
              <w:t>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37" w:type="dxa"/>
            <w:vMerge w:val="continue"/>
            <w:tcBorders>
              <w:left w:val="single" w:color="auto" w:sz="4" w:space="0"/>
              <w:bottom w:val="single" w:color="auto" w:sz="4" w:space="0"/>
              <w:right w:val="single" w:color="auto" w:sz="4" w:space="0"/>
            </w:tcBorders>
            <w:vAlign w:val="center"/>
          </w:tcPr>
          <w:p/>
        </w:tc>
        <w:tc>
          <w:tcPr>
            <w:tcW w:w="6709" w:type="dxa"/>
            <w:tcBorders>
              <w:top w:val="single" w:color="auto" w:sz="4" w:space="0"/>
              <w:left w:val="single" w:color="auto" w:sz="4" w:space="0"/>
              <w:right w:val="single" w:color="auto" w:sz="4" w:space="0"/>
            </w:tcBorders>
          </w:tcPr>
          <w:p>
            <w:pPr>
              <w:pStyle w:val="13"/>
              <w:numPr>
                <w:ilvl w:val="0"/>
                <w:numId w:val="12"/>
              </w:numPr>
              <w:ind w:firstLineChars="0"/>
            </w:pPr>
            <w:r>
              <w:rPr>
                <w:rFonts w:hint="eastAsia"/>
              </w:rPr>
              <w:t>信息安全等级保护。为保证系统信息安全，系统需符合信息安全等级保护要求，提供由公安机关颁发的“信息系统安全等级保护备案证明”复印件。提供备案证明复印件得5分，不提供不得分。</w:t>
            </w:r>
          </w:p>
        </w:tc>
        <w:tc>
          <w:tcPr>
            <w:tcW w:w="1134" w:type="dxa"/>
            <w:tcBorders>
              <w:top w:val="single" w:color="auto" w:sz="4" w:space="0"/>
              <w:left w:val="single" w:color="auto" w:sz="4" w:space="0"/>
              <w:right w:val="single" w:color="auto" w:sz="4" w:space="0"/>
            </w:tcBorders>
            <w:vAlign w:val="center"/>
          </w:tcPr>
          <w:p>
            <w:pPr>
              <w:jc w:val="center"/>
            </w:pPr>
            <w:r>
              <w:rPr>
                <w:rFonts w:hint="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37" w:type="dxa"/>
            <w:vMerge w:val="restart"/>
            <w:tcBorders>
              <w:top w:val="single" w:color="auto" w:sz="4" w:space="0"/>
              <w:left w:val="single" w:color="auto" w:sz="4" w:space="0"/>
              <w:right w:val="single" w:color="auto" w:sz="4" w:space="0"/>
            </w:tcBorders>
            <w:vAlign w:val="center"/>
          </w:tcPr>
          <w:p>
            <w:pPr>
              <w:rPr>
                <w:b/>
              </w:rPr>
            </w:pPr>
            <w:r>
              <w:t>商务部分</w:t>
            </w:r>
          </w:p>
          <w:p>
            <w:pPr>
              <w:rPr>
                <w:b/>
              </w:rPr>
            </w:pPr>
            <w:r>
              <w:t>（20分）</w:t>
            </w:r>
          </w:p>
        </w:tc>
        <w:tc>
          <w:tcPr>
            <w:tcW w:w="6709" w:type="dxa"/>
            <w:tcBorders>
              <w:top w:val="single" w:color="auto" w:sz="4" w:space="0"/>
              <w:left w:val="single" w:color="auto" w:sz="4" w:space="0"/>
              <w:right w:val="single" w:color="auto" w:sz="4" w:space="0"/>
            </w:tcBorders>
          </w:tcPr>
          <w:p>
            <w:pPr>
              <w:pStyle w:val="13"/>
              <w:numPr>
                <w:ilvl w:val="0"/>
                <w:numId w:val="13"/>
              </w:numPr>
              <w:ind w:firstLineChars="0"/>
            </w:pPr>
            <w:r>
              <w:rPr>
                <w:rFonts w:hint="eastAsia"/>
              </w:rPr>
              <w:t>集成开发能力。为证明产品集成开发能力，提供产品供应商获得的由SEI组织官方注册认证的“</w:t>
            </w:r>
            <w:r>
              <w:t>CMMI</w:t>
            </w:r>
            <w:r>
              <w:rPr>
                <w:rFonts w:hint="eastAsia"/>
              </w:rPr>
              <w:t>能力成熟度五级证书”复印件。满足</w:t>
            </w:r>
            <w:r>
              <w:t>5</w:t>
            </w:r>
            <w:r>
              <w:rPr>
                <w:rFonts w:hint="eastAsia"/>
              </w:rPr>
              <w:t>级得5分，</w:t>
            </w:r>
            <w:r>
              <w:t>5</w:t>
            </w:r>
            <w:r>
              <w:rPr>
                <w:rFonts w:hint="eastAsia"/>
              </w:rPr>
              <w:t>级以下得</w:t>
            </w:r>
            <w:r>
              <w:t>2</w:t>
            </w:r>
            <w:r>
              <w:rPr>
                <w:rFonts w:hint="eastAsia"/>
              </w:rPr>
              <w:t>分，不提供不得分。</w:t>
            </w:r>
          </w:p>
        </w:tc>
        <w:tc>
          <w:tcPr>
            <w:tcW w:w="1134" w:type="dxa"/>
            <w:tcBorders>
              <w:top w:val="single" w:color="auto" w:sz="4" w:space="0"/>
              <w:left w:val="single" w:color="auto" w:sz="4" w:space="0"/>
              <w:right w:val="single" w:color="auto" w:sz="4" w:space="0"/>
            </w:tcBorders>
            <w:vAlign w:val="center"/>
          </w:tcPr>
          <w:p>
            <w:pPr>
              <w:ind w:hanging="420"/>
              <w:jc w:val="center"/>
            </w:pPr>
            <w:r>
              <w:t xml:space="preserve">     </w:t>
            </w:r>
            <w:r>
              <w:rPr>
                <w:rFonts w:hint="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337" w:type="dxa"/>
            <w:vMerge w:val="continue"/>
            <w:tcBorders>
              <w:left w:val="single" w:color="auto" w:sz="4" w:space="0"/>
              <w:right w:val="single" w:color="auto" w:sz="4" w:space="0"/>
            </w:tcBorders>
            <w:vAlign w:val="center"/>
          </w:tcPr>
          <w:p>
            <w:pPr>
              <w:widowControl/>
              <w:jc w:val="left"/>
              <w:rPr>
                <w:b/>
              </w:rPr>
            </w:pPr>
          </w:p>
        </w:tc>
        <w:tc>
          <w:tcPr>
            <w:tcW w:w="6709" w:type="dxa"/>
            <w:tcBorders>
              <w:top w:val="single" w:color="auto" w:sz="4" w:space="0"/>
              <w:left w:val="single" w:color="auto" w:sz="4" w:space="0"/>
              <w:bottom w:val="single" w:color="auto" w:sz="4" w:space="0"/>
              <w:right w:val="single" w:color="auto" w:sz="4" w:space="0"/>
            </w:tcBorders>
          </w:tcPr>
          <w:p>
            <w:pPr>
              <w:pStyle w:val="13"/>
              <w:numPr>
                <w:ilvl w:val="0"/>
                <w:numId w:val="13"/>
              </w:numPr>
              <w:ind w:firstLineChars="0"/>
            </w:pPr>
            <w:r>
              <w:rPr>
                <w:rFonts w:hint="eastAsia"/>
              </w:rPr>
              <w:t>信息安全认证资质。为保证供应商在应用软件开发与运维、信息系统集成、硬件开发与运维相关的信息安全管理体系活动，提供产品供应商获得的由中国质量认证中心颁发的“信息安全管理体系认证证书”复印件证明。提供资质证明得4分，不提供不得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rPr>
              <w:t>4</w:t>
            </w:r>
            <w: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37" w:type="dxa"/>
            <w:vMerge w:val="continue"/>
            <w:tcBorders>
              <w:left w:val="single" w:color="auto" w:sz="4" w:space="0"/>
              <w:right w:val="single" w:color="auto" w:sz="4" w:space="0"/>
            </w:tcBorders>
            <w:vAlign w:val="center"/>
          </w:tcPr>
          <w:p>
            <w:pPr>
              <w:widowControl/>
              <w:jc w:val="left"/>
              <w:rPr>
                <w:b/>
              </w:rPr>
            </w:pPr>
          </w:p>
        </w:tc>
        <w:tc>
          <w:tcPr>
            <w:tcW w:w="6709" w:type="dxa"/>
            <w:tcBorders>
              <w:top w:val="single" w:color="auto" w:sz="4" w:space="0"/>
              <w:left w:val="nil"/>
              <w:bottom w:val="single" w:color="auto" w:sz="4" w:space="0"/>
              <w:right w:val="single" w:color="auto" w:sz="4" w:space="0"/>
            </w:tcBorders>
          </w:tcPr>
          <w:p>
            <w:pPr>
              <w:pStyle w:val="13"/>
              <w:numPr>
                <w:ilvl w:val="0"/>
                <w:numId w:val="13"/>
              </w:numPr>
              <w:ind w:firstLineChars="0"/>
            </w:pPr>
            <w:r>
              <w:t>IT</w:t>
            </w:r>
            <w:r>
              <w:rPr>
                <w:rFonts w:hint="eastAsia"/>
              </w:rPr>
              <w:t>服务认证资质。为保证产品供应商能够提供应用软件开发与维护、硬件运维的服务管理体系，提供产品供应商获得的由中国质量认证中心颁发的“信息技术服务管理体系认证证书”复印件证明。提供资质证明得</w:t>
            </w:r>
            <w:r>
              <w:t>3</w:t>
            </w:r>
            <w:r>
              <w:rPr>
                <w:rFonts w:hint="eastAsia"/>
              </w:rPr>
              <w:t>分，不提供不得分。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37" w:type="dxa"/>
            <w:vMerge w:val="continue"/>
            <w:tcBorders>
              <w:left w:val="single" w:color="auto" w:sz="4" w:space="0"/>
              <w:right w:val="single" w:color="auto" w:sz="4" w:space="0"/>
            </w:tcBorders>
            <w:vAlign w:val="center"/>
          </w:tcPr>
          <w:p>
            <w:pPr>
              <w:widowControl/>
              <w:jc w:val="left"/>
              <w:rPr>
                <w:b/>
              </w:rPr>
            </w:pPr>
          </w:p>
        </w:tc>
        <w:tc>
          <w:tcPr>
            <w:tcW w:w="6709" w:type="dxa"/>
            <w:tcBorders>
              <w:top w:val="single" w:color="auto" w:sz="4" w:space="0"/>
              <w:left w:val="single" w:color="auto" w:sz="4" w:space="0"/>
              <w:bottom w:val="single" w:color="auto" w:sz="4" w:space="0"/>
              <w:right w:val="single" w:color="auto" w:sz="4" w:space="0"/>
            </w:tcBorders>
          </w:tcPr>
          <w:p>
            <w:pPr>
              <w:pStyle w:val="13"/>
              <w:numPr>
                <w:ilvl w:val="0"/>
                <w:numId w:val="13"/>
              </w:numPr>
              <w:ind w:firstLineChars="0"/>
            </w:pPr>
            <w:r>
              <w:rPr>
                <w:rFonts w:hint="eastAsia"/>
              </w:rPr>
              <w:t>管理体系认证。提供产品供应商获得的由第三方认证机构认证的“知识产权管理体系认证证书”的复印件证明。提供得</w:t>
            </w:r>
            <w:r>
              <w:t>4</w:t>
            </w:r>
            <w:r>
              <w:rPr>
                <w:rFonts w:hint="eastAsia"/>
              </w:rPr>
              <w:t>分，不提供不得分。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37" w:type="dxa"/>
            <w:vMerge w:val="continue"/>
            <w:tcBorders>
              <w:left w:val="single" w:color="auto" w:sz="4" w:space="0"/>
              <w:right w:val="single" w:color="auto" w:sz="4" w:space="0"/>
            </w:tcBorders>
            <w:vAlign w:val="center"/>
          </w:tcPr>
          <w:p>
            <w:pPr>
              <w:widowControl/>
              <w:jc w:val="left"/>
              <w:rPr>
                <w:b/>
              </w:rPr>
            </w:pPr>
          </w:p>
        </w:tc>
        <w:tc>
          <w:tcPr>
            <w:tcW w:w="6709" w:type="dxa"/>
            <w:tcBorders>
              <w:top w:val="single" w:color="auto" w:sz="4" w:space="0"/>
              <w:left w:val="single" w:color="auto" w:sz="4" w:space="0"/>
              <w:bottom w:val="single" w:color="auto" w:sz="4" w:space="0"/>
              <w:right w:val="single" w:color="auto" w:sz="4" w:space="0"/>
            </w:tcBorders>
          </w:tcPr>
          <w:p>
            <w:pPr>
              <w:pStyle w:val="13"/>
              <w:numPr>
                <w:ilvl w:val="0"/>
                <w:numId w:val="13"/>
              </w:numPr>
              <w:ind w:firstLineChars="0"/>
            </w:pPr>
            <w:r>
              <w:t>技术方案。投标人技术方案具有行业先进性，方案综合考虑建设方需求，整体方案架构合理。评标人根据投标人所投产品的系统架构、功能模块等方面进行横向比较，综合评定，自主赋分。优得4分，良得2分，</w:t>
            </w:r>
            <w:r>
              <w:rPr>
                <w:rFonts w:hint="eastAsia"/>
              </w:rPr>
              <w:t>其他</w:t>
            </w:r>
            <w:r>
              <w:t>得0分。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t>4分</w:t>
            </w:r>
          </w:p>
        </w:tc>
      </w:tr>
    </w:tbl>
    <w:p>
      <w:pPr>
        <w:spacing w:line="360" w:lineRule="auto"/>
      </w:pPr>
    </w:p>
    <w:sectPr>
      <w:headerReference r:id="rId3" w:type="default"/>
      <w:footerReference r:id="rId4" w:type="default"/>
      <w:pgSz w:w="11850" w:h="16783"/>
      <w:pgMar w:top="1440" w:right="1800" w:bottom="1440" w:left="1800" w:header="737" w:footer="680"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b/>
        <w:i/>
      </w:rPr>
      <w:t xml:space="preserve">            </w:t>
    </w:r>
    <w:r>
      <w:rPr>
        <w:rFonts w:hint="eastAsia"/>
      </w:rPr>
      <w:t xml:space="preserve">                       </w:t>
    </w:r>
    <w:r>
      <w:rPr>
        <w:rFonts w:hint="eastAsia"/>
      </w:rPr>
      <w:tab/>
    </w:r>
    <w:r>
      <w:rPr>
        <w:rFonts w:hint="eastAsia"/>
      </w:rPr>
      <w:tab/>
    </w:r>
    <w:r>
      <w:rPr>
        <w:rFonts w:hint="eastAsia"/>
      </w:rPr>
      <w:t xml:space="preserve">   </w:t>
    </w:r>
    <w:r>
      <w:rPr>
        <w:rStyle w:val="12"/>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4617E"/>
    <w:multiLevelType w:val="multilevel"/>
    <w:tmpl w:val="0434617E"/>
    <w:lvl w:ilvl="0" w:tentative="0">
      <w:start w:val="1"/>
      <w:numFmt w:val="decimal"/>
      <w:lvlText w:val="%1"/>
      <w:lvlJc w:val="center"/>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6412048"/>
    <w:multiLevelType w:val="multilevel"/>
    <w:tmpl w:val="064120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BC13EA"/>
    <w:multiLevelType w:val="multilevel"/>
    <w:tmpl w:val="06BC13EA"/>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2B6A9D"/>
    <w:multiLevelType w:val="multilevel"/>
    <w:tmpl w:val="092B6A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145E4E"/>
    <w:multiLevelType w:val="multilevel"/>
    <w:tmpl w:val="27145E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E41C5D"/>
    <w:multiLevelType w:val="multilevel"/>
    <w:tmpl w:val="40E41C5D"/>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A875C8"/>
    <w:multiLevelType w:val="multilevel"/>
    <w:tmpl w:val="49A875C8"/>
    <w:lvl w:ilvl="0" w:tentative="0">
      <w:start w:val="1"/>
      <w:numFmt w:val="decimal"/>
      <w:lvlText w:val="%1."/>
      <w:lvlJc w:val="left"/>
      <w:pPr>
        <w:ind w:left="454"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264B09"/>
    <w:multiLevelType w:val="multilevel"/>
    <w:tmpl w:val="52264B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7F1005"/>
    <w:multiLevelType w:val="multilevel"/>
    <w:tmpl w:val="567F1005"/>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192BB2"/>
    <w:multiLevelType w:val="multilevel"/>
    <w:tmpl w:val="5A192BB2"/>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4404705"/>
    <w:multiLevelType w:val="multilevel"/>
    <w:tmpl w:val="64404705"/>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D51074A"/>
    <w:multiLevelType w:val="multilevel"/>
    <w:tmpl w:val="6D51074A"/>
    <w:lvl w:ilvl="0" w:tentative="0">
      <w:start w:val="1"/>
      <w:numFmt w:val="decimal"/>
      <w:lvlText w:val="%1."/>
      <w:lvlJc w:val="left"/>
      <w:pPr>
        <w:ind w:left="454"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6A5F70"/>
    <w:multiLevelType w:val="multilevel"/>
    <w:tmpl w:val="7F6A5F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2"/>
  </w:num>
  <w:num w:numId="3">
    <w:abstractNumId w:val="0"/>
  </w:num>
  <w:num w:numId="4">
    <w:abstractNumId w:val="8"/>
  </w:num>
  <w:num w:numId="5">
    <w:abstractNumId w:val="10"/>
  </w:num>
  <w:num w:numId="6">
    <w:abstractNumId w:val="9"/>
  </w:num>
  <w:num w:numId="7">
    <w:abstractNumId w:val="6"/>
  </w:num>
  <w:num w:numId="8">
    <w:abstractNumId w:val="11"/>
  </w:num>
  <w:num w:numId="9">
    <w:abstractNumId w:val="5"/>
  </w:num>
  <w:num w:numId="10">
    <w:abstractNumId w:val="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wNjUzN2QyN2EzNGIzNzAzMjg1ZTM3OGViZDVhNjEifQ=="/>
  </w:docVars>
  <w:rsids>
    <w:rsidRoot w:val="008C7B45"/>
    <w:rsid w:val="000028F4"/>
    <w:rsid w:val="000042AA"/>
    <w:rsid w:val="00016980"/>
    <w:rsid w:val="00021CB3"/>
    <w:rsid w:val="00030B9D"/>
    <w:rsid w:val="00040787"/>
    <w:rsid w:val="00062E78"/>
    <w:rsid w:val="00062EB3"/>
    <w:rsid w:val="00063F20"/>
    <w:rsid w:val="00074B7F"/>
    <w:rsid w:val="000758D3"/>
    <w:rsid w:val="0007713B"/>
    <w:rsid w:val="000844C3"/>
    <w:rsid w:val="00094B22"/>
    <w:rsid w:val="0009602A"/>
    <w:rsid w:val="000A14EC"/>
    <w:rsid w:val="000A1D51"/>
    <w:rsid w:val="000A68D2"/>
    <w:rsid w:val="000C4E1B"/>
    <w:rsid w:val="000E7E1A"/>
    <w:rsid w:val="000F04B3"/>
    <w:rsid w:val="000F2F33"/>
    <w:rsid w:val="0010237A"/>
    <w:rsid w:val="00104408"/>
    <w:rsid w:val="00107D9C"/>
    <w:rsid w:val="00111B18"/>
    <w:rsid w:val="00114F27"/>
    <w:rsid w:val="00126B57"/>
    <w:rsid w:val="0013046C"/>
    <w:rsid w:val="00131D2F"/>
    <w:rsid w:val="0013467B"/>
    <w:rsid w:val="001570A4"/>
    <w:rsid w:val="0016318D"/>
    <w:rsid w:val="00172EAA"/>
    <w:rsid w:val="00173CCA"/>
    <w:rsid w:val="0018365D"/>
    <w:rsid w:val="00184C67"/>
    <w:rsid w:val="00190412"/>
    <w:rsid w:val="0019573B"/>
    <w:rsid w:val="00195BAC"/>
    <w:rsid w:val="001A47F1"/>
    <w:rsid w:val="001A6950"/>
    <w:rsid w:val="001B5488"/>
    <w:rsid w:val="001B7B0A"/>
    <w:rsid w:val="001C0D6C"/>
    <w:rsid w:val="001C0FBC"/>
    <w:rsid w:val="001C19EE"/>
    <w:rsid w:val="001C4B82"/>
    <w:rsid w:val="001C5263"/>
    <w:rsid w:val="001C666E"/>
    <w:rsid w:val="001D6F07"/>
    <w:rsid w:val="001E054C"/>
    <w:rsid w:val="001E5A2C"/>
    <w:rsid w:val="001F0545"/>
    <w:rsid w:val="001F1D23"/>
    <w:rsid w:val="00214CC1"/>
    <w:rsid w:val="00236A84"/>
    <w:rsid w:val="0024789C"/>
    <w:rsid w:val="002531BE"/>
    <w:rsid w:val="002677AF"/>
    <w:rsid w:val="00274093"/>
    <w:rsid w:val="00280E5D"/>
    <w:rsid w:val="00287F13"/>
    <w:rsid w:val="0029307D"/>
    <w:rsid w:val="00296612"/>
    <w:rsid w:val="002A4C71"/>
    <w:rsid w:val="002A610A"/>
    <w:rsid w:val="002A6F74"/>
    <w:rsid w:val="002B350C"/>
    <w:rsid w:val="002B426E"/>
    <w:rsid w:val="002B53BF"/>
    <w:rsid w:val="002B6DFF"/>
    <w:rsid w:val="002C0BD9"/>
    <w:rsid w:val="002C3125"/>
    <w:rsid w:val="002D2421"/>
    <w:rsid w:val="002D47F2"/>
    <w:rsid w:val="002D50CA"/>
    <w:rsid w:val="002E025A"/>
    <w:rsid w:val="002E12A2"/>
    <w:rsid w:val="002F044D"/>
    <w:rsid w:val="002F5A0E"/>
    <w:rsid w:val="00307F9C"/>
    <w:rsid w:val="00322AA7"/>
    <w:rsid w:val="003477A3"/>
    <w:rsid w:val="003538CA"/>
    <w:rsid w:val="00356A22"/>
    <w:rsid w:val="00362293"/>
    <w:rsid w:val="00362CEF"/>
    <w:rsid w:val="00363E4B"/>
    <w:rsid w:val="003651D7"/>
    <w:rsid w:val="0037444A"/>
    <w:rsid w:val="0038201B"/>
    <w:rsid w:val="0038506D"/>
    <w:rsid w:val="00387839"/>
    <w:rsid w:val="00397CF5"/>
    <w:rsid w:val="003A017A"/>
    <w:rsid w:val="003A058E"/>
    <w:rsid w:val="003B0C3F"/>
    <w:rsid w:val="003C11BA"/>
    <w:rsid w:val="003E7D05"/>
    <w:rsid w:val="003F7BD5"/>
    <w:rsid w:val="004001D3"/>
    <w:rsid w:val="00416833"/>
    <w:rsid w:val="004243E5"/>
    <w:rsid w:val="0043529C"/>
    <w:rsid w:val="00436830"/>
    <w:rsid w:val="00453993"/>
    <w:rsid w:val="004868A7"/>
    <w:rsid w:val="00486901"/>
    <w:rsid w:val="00486F65"/>
    <w:rsid w:val="00497FEB"/>
    <w:rsid w:val="004A09D4"/>
    <w:rsid w:val="004D41B2"/>
    <w:rsid w:val="004E2CB6"/>
    <w:rsid w:val="004E4F17"/>
    <w:rsid w:val="004E64D1"/>
    <w:rsid w:val="004E65C5"/>
    <w:rsid w:val="004E7153"/>
    <w:rsid w:val="004E73C4"/>
    <w:rsid w:val="004F46C3"/>
    <w:rsid w:val="004F75BC"/>
    <w:rsid w:val="00507EEE"/>
    <w:rsid w:val="0053189A"/>
    <w:rsid w:val="0054027C"/>
    <w:rsid w:val="00543121"/>
    <w:rsid w:val="0055508E"/>
    <w:rsid w:val="00580CA3"/>
    <w:rsid w:val="0058758F"/>
    <w:rsid w:val="005878BA"/>
    <w:rsid w:val="005A46D3"/>
    <w:rsid w:val="005A5D10"/>
    <w:rsid w:val="005B3A33"/>
    <w:rsid w:val="005B4D5D"/>
    <w:rsid w:val="005C0841"/>
    <w:rsid w:val="005C65D1"/>
    <w:rsid w:val="005E2013"/>
    <w:rsid w:val="005E7317"/>
    <w:rsid w:val="005E758C"/>
    <w:rsid w:val="005F141E"/>
    <w:rsid w:val="005F3B4D"/>
    <w:rsid w:val="005F54B9"/>
    <w:rsid w:val="006006B0"/>
    <w:rsid w:val="00602EC6"/>
    <w:rsid w:val="0061122A"/>
    <w:rsid w:val="0062067C"/>
    <w:rsid w:val="00623301"/>
    <w:rsid w:val="0063509C"/>
    <w:rsid w:val="00665E33"/>
    <w:rsid w:val="006771D8"/>
    <w:rsid w:val="00690C3A"/>
    <w:rsid w:val="00692E7B"/>
    <w:rsid w:val="00695178"/>
    <w:rsid w:val="00695565"/>
    <w:rsid w:val="006A00C6"/>
    <w:rsid w:val="006B0D5E"/>
    <w:rsid w:val="006B3BDF"/>
    <w:rsid w:val="006B5F33"/>
    <w:rsid w:val="006F4017"/>
    <w:rsid w:val="007114BB"/>
    <w:rsid w:val="00712A40"/>
    <w:rsid w:val="0072018D"/>
    <w:rsid w:val="00727FF5"/>
    <w:rsid w:val="0073527F"/>
    <w:rsid w:val="007501A5"/>
    <w:rsid w:val="00751E62"/>
    <w:rsid w:val="00754179"/>
    <w:rsid w:val="007613B4"/>
    <w:rsid w:val="0076252D"/>
    <w:rsid w:val="007640CF"/>
    <w:rsid w:val="0077110B"/>
    <w:rsid w:val="00777531"/>
    <w:rsid w:val="0078104B"/>
    <w:rsid w:val="00786355"/>
    <w:rsid w:val="007956FD"/>
    <w:rsid w:val="007A0871"/>
    <w:rsid w:val="007A18AD"/>
    <w:rsid w:val="007B0D29"/>
    <w:rsid w:val="007C39C6"/>
    <w:rsid w:val="007C5D1E"/>
    <w:rsid w:val="007D55AC"/>
    <w:rsid w:val="007F5278"/>
    <w:rsid w:val="007F7EF6"/>
    <w:rsid w:val="00811160"/>
    <w:rsid w:val="00815FBB"/>
    <w:rsid w:val="0082149E"/>
    <w:rsid w:val="00823A5E"/>
    <w:rsid w:val="00827ED7"/>
    <w:rsid w:val="00830AA5"/>
    <w:rsid w:val="00837999"/>
    <w:rsid w:val="00837ECE"/>
    <w:rsid w:val="0084292E"/>
    <w:rsid w:val="00850C72"/>
    <w:rsid w:val="008614C6"/>
    <w:rsid w:val="008631AF"/>
    <w:rsid w:val="00863F54"/>
    <w:rsid w:val="00871C97"/>
    <w:rsid w:val="008914B7"/>
    <w:rsid w:val="008A7E3F"/>
    <w:rsid w:val="008B1858"/>
    <w:rsid w:val="008B30CF"/>
    <w:rsid w:val="008B388C"/>
    <w:rsid w:val="008B38E2"/>
    <w:rsid w:val="008B3AC9"/>
    <w:rsid w:val="008B5660"/>
    <w:rsid w:val="008B7BDA"/>
    <w:rsid w:val="008B7F5F"/>
    <w:rsid w:val="008C0555"/>
    <w:rsid w:val="008C2B39"/>
    <w:rsid w:val="008C67CD"/>
    <w:rsid w:val="008C77C5"/>
    <w:rsid w:val="008C7B45"/>
    <w:rsid w:val="008D1B48"/>
    <w:rsid w:val="008E15F6"/>
    <w:rsid w:val="008F67AC"/>
    <w:rsid w:val="008F7133"/>
    <w:rsid w:val="00901024"/>
    <w:rsid w:val="009106B5"/>
    <w:rsid w:val="00923B99"/>
    <w:rsid w:val="00931422"/>
    <w:rsid w:val="00944495"/>
    <w:rsid w:val="00952DEC"/>
    <w:rsid w:val="009554C7"/>
    <w:rsid w:val="00956199"/>
    <w:rsid w:val="00961E75"/>
    <w:rsid w:val="00965A07"/>
    <w:rsid w:val="0097603C"/>
    <w:rsid w:val="009811CD"/>
    <w:rsid w:val="009902EB"/>
    <w:rsid w:val="00995737"/>
    <w:rsid w:val="009A2750"/>
    <w:rsid w:val="009A2767"/>
    <w:rsid w:val="009A74B7"/>
    <w:rsid w:val="009B176A"/>
    <w:rsid w:val="009B58B9"/>
    <w:rsid w:val="009E4A1F"/>
    <w:rsid w:val="009F702C"/>
    <w:rsid w:val="00A046A0"/>
    <w:rsid w:val="00A262BA"/>
    <w:rsid w:val="00A42857"/>
    <w:rsid w:val="00A44C62"/>
    <w:rsid w:val="00A478A2"/>
    <w:rsid w:val="00A56D82"/>
    <w:rsid w:val="00A73311"/>
    <w:rsid w:val="00A91DE5"/>
    <w:rsid w:val="00AA5FDA"/>
    <w:rsid w:val="00AB1337"/>
    <w:rsid w:val="00AB28EB"/>
    <w:rsid w:val="00AC0C75"/>
    <w:rsid w:val="00AC3634"/>
    <w:rsid w:val="00AC7EF1"/>
    <w:rsid w:val="00AD12A4"/>
    <w:rsid w:val="00AD24B7"/>
    <w:rsid w:val="00AE40D9"/>
    <w:rsid w:val="00AF4D40"/>
    <w:rsid w:val="00AF598C"/>
    <w:rsid w:val="00B03A2B"/>
    <w:rsid w:val="00B119CA"/>
    <w:rsid w:val="00B22E8A"/>
    <w:rsid w:val="00B41163"/>
    <w:rsid w:val="00B51014"/>
    <w:rsid w:val="00B57A69"/>
    <w:rsid w:val="00B649D4"/>
    <w:rsid w:val="00B66838"/>
    <w:rsid w:val="00B76547"/>
    <w:rsid w:val="00B83185"/>
    <w:rsid w:val="00B87AA8"/>
    <w:rsid w:val="00B929BF"/>
    <w:rsid w:val="00B978B4"/>
    <w:rsid w:val="00BB4B7F"/>
    <w:rsid w:val="00BB4FB2"/>
    <w:rsid w:val="00BC3C4E"/>
    <w:rsid w:val="00BC659C"/>
    <w:rsid w:val="00BD1835"/>
    <w:rsid w:val="00BD1A31"/>
    <w:rsid w:val="00BE11F0"/>
    <w:rsid w:val="00BE2155"/>
    <w:rsid w:val="00BE2C55"/>
    <w:rsid w:val="00BF2158"/>
    <w:rsid w:val="00BF3B4B"/>
    <w:rsid w:val="00C068FA"/>
    <w:rsid w:val="00C12B41"/>
    <w:rsid w:val="00C20535"/>
    <w:rsid w:val="00C217F5"/>
    <w:rsid w:val="00C23C00"/>
    <w:rsid w:val="00C262CA"/>
    <w:rsid w:val="00C505D0"/>
    <w:rsid w:val="00C52E1C"/>
    <w:rsid w:val="00C86271"/>
    <w:rsid w:val="00C87607"/>
    <w:rsid w:val="00CA13ED"/>
    <w:rsid w:val="00CB0829"/>
    <w:rsid w:val="00CB6EBE"/>
    <w:rsid w:val="00CC2DCC"/>
    <w:rsid w:val="00CC50F1"/>
    <w:rsid w:val="00CE08F3"/>
    <w:rsid w:val="00CE11A3"/>
    <w:rsid w:val="00CE66D4"/>
    <w:rsid w:val="00D016FF"/>
    <w:rsid w:val="00D061F1"/>
    <w:rsid w:val="00D332F9"/>
    <w:rsid w:val="00D37D39"/>
    <w:rsid w:val="00D44A76"/>
    <w:rsid w:val="00D5060F"/>
    <w:rsid w:val="00D54E89"/>
    <w:rsid w:val="00D67337"/>
    <w:rsid w:val="00D67A1D"/>
    <w:rsid w:val="00D86FD0"/>
    <w:rsid w:val="00D8784F"/>
    <w:rsid w:val="00DD26D7"/>
    <w:rsid w:val="00DE0037"/>
    <w:rsid w:val="00DE1260"/>
    <w:rsid w:val="00DE3BC9"/>
    <w:rsid w:val="00DE69B1"/>
    <w:rsid w:val="00DF32F7"/>
    <w:rsid w:val="00DF549B"/>
    <w:rsid w:val="00E019C1"/>
    <w:rsid w:val="00E01E8F"/>
    <w:rsid w:val="00E020C5"/>
    <w:rsid w:val="00E04EDF"/>
    <w:rsid w:val="00E12E70"/>
    <w:rsid w:val="00E17FB0"/>
    <w:rsid w:val="00E35A96"/>
    <w:rsid w:val="00E36B93"/>
    <w:rsid w:val="00E457FD"/>
    <w:rsid w:val="00E542AD"/>
    <w:rsid w:val="00E75FBF"/>
    <w:rsid w:val="00E81509"/>
    <w:rsid w:val="00E83446"/>
    <w:rsid w:val="00E83D10"/>
    <w:rsid w:val="00E92BA4"/>
    <w:rsid w:val="00EA09B9"/>
    <w:rsid w:val="00EA3745"/>
    <w:rsid w:val="00EA5925"/>
    <w:rsid w:val="00EC06C6"/>
    <w:rsid w:val="00EC3321"/>
    <w:rsid w:val="00ED55F7"/>
    <w:rsid w:val="00ED68CC"/>
    <w:rsid w:val="00EF239D"/>
    <w:rsid w:val="00EF49E9"/>
    <w:rsid w:val="00F007D0"/>
    <w:rsid w:val="00F06508"/>
    <w:rsid w:val="00F12F06"/>
    <w:rsid w:val="00F1569F"/>
    <w:rsid w:val="00F17D0A"/>
    <w:rsid w:val="00F31CD8"/>
    <w:rsid w:val="00F34256"/>
    <w:rsid w:val="00F411DF"/>
    <w:rsid w:val="00F434E0"/>
    <w:rsid w:val="00F475E2"/>
    <w:rsid w:val="00F47A39"/>
    <w:rsid w:val="00F5107B"/>
    <w:rsid w:val="00F52AC3"/>
    <w:rsid w:val="00F5698C"/>
    <w:rsid w:val="00F60773"/>
    <w:rsid w:val="00F65BF5"/>
    <w:rsid w:val="00F70CE0"/>
    <w:rsid w:val="00F7669D"/>
    <w:rsid w:val="00F77099"/>
    <w:rsid w:val="00F77EB3"/>
    <w:rsid w:val="00F83470"/>
    <w:rsid w:val="00F94005"/>
    <w:rsid w:val="00F96B60"/>
    <w:rsid w:val="00F97718"/>
    <w:rsid w:val="00FB39C8"/>
    <w:rsid w:val="00FC1691"/>
    <w:rsid w:val="00FC753D"/>
    <w:rsid w:val="00FD6BAB"/>
    <w:rsid w:val="00FF43E8"/>
    <w:rsid w:val="06BF5DFC"/>
    <w:rsid w:val="0A085581"/>
    <w:rsid w:val="133C327B"/>
    <w:rsid w:val="13AE544F"/>
    <w:rsid w:val="157C2E37"/>
    <w:rsid w:val="1FC81561"/>
    <w:rsid w:val="224C33EA"/>
    <w:rsid w:val="241234C2"/>
    <w:rsid w:val="2AD52B7C"/>
    <w:rsid w:val="46655537"/>
    <w:rsid w:val="4F7F1222"/>
    <w:rsid w:val="54227708"/>
    <w:rsid w:val="5B055AC7"/>
    <w:rsid w:val="5FD80422"/>
    <w:rsid w:val="634C4DD5"/>
    <w:rsid w:val="68592502"/>
    <w:rsid w:val="7679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keepNext/>
      <w:keepLines/>
      <w:spacing w:line="360" w:lineRule="auto"/>
      <w:outlineLvl w:val="0"/>
    </w:pPr>
    <w:rPr>
      <w:b/>
      <w:kern w:val="44"/>
      <w:sz w:val="32"/>
    </w:rPr>
  </w:style>
  <w:style w:type="paragraph" w:styleId="3">
    <w:name w:val="heading 2"/>
    <w:basedOn w:val="1"/>
    <w:next w:val="1"/>
    <w:link w:val="19"/>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unhideWhenUsed/>
    <w:qFormat/>
    <w:uiPriority w:val="99"/>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qFormat/>
    <w:uiPriority w:val="11"/>
    <w:pPr>
      <w:spacing w:before="240" w:after="60" w:line="312" w:lineRule="auto"/>
      <w:jc w:val="center"/>
      <w:outlineLvl w:val="1"/>
    </w:pPr>
    <w:rPr>
      <w:rFonts w:asciiTheme="majorHAnsi" w:hAnsiTheme="majorHAnsi" w:cstheme="majorBidi"/>
      <w:b/>
      <w:bCs/>
      <w:kern w:val="28"/>
      <w:sz w:val="32"/>
      <w:szCs w:val="32"/>
    </w:rPr>
  </w:style>
  <w:style w:type="character" w:styleId="12">
    <w:name w:val="page number"/>
    <w:basedOn w:val="11"/>
    <w:unhideWhenUsed/>
    <w:qFormat/>
    <w:uiPriority w:val="99"/>
  </w:style>
  <w:style w:type="paragraph" w:styleId="13">
    <w:name w:val="List Paragraph"/>
    <w:basedOn w:val="1"/>
    <w:link w:val="21"/>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标题 1 字符"/>
    <w:basedOn w:val="11"/>
    <w:link w:val="2"/>
    <w:qFormat/>
    <w:uiPriority w:val="9"/>
    <w:rPr>
      <w:rFonts w:ascii="Times New Roman" w:hAnsi="Times New Roman" w:eastAsia="宋体" w:cs="Times New Roman"/>
      <w:b/>
      <w:kern w:val="44"/>
      <w:sz w:val="32"/>
      <w:szCs w:val="20"/>
    </w:rPr>
  </w:style>
  <w:style w:type="character" w:customStyle="1" w:styleId="17">
    <w:name w:val="批注文字 字符"/>
    <w:basedOn w:val="11"/>
    <w:link w:val="5"/>
    <w:qFormat/>
    <w:uiPriority w:val="99"/>
    <w:rPr>
      <w:rFonts w:ascii="Times New Roman" w:hAnsi="Times New Roman" w:eastAsia="宋体" w:cs="Times New Roman"/>
      <w:szCs w:val="20"/>
    </w:rPr>
  </w:style>
  <w:style w:type="character" w:customStyle="1" w:styleId="18">
    <w:name w:val="批注框文本 字符"/>
    <w:basedOn w:val="11"/>
    <w:link w:val="6"/>
    <w:semiHidden/>
    <w:qFormat/>
    <w:uiPriority w:val="99"/>
    <w:rPr>
      <w:rFonts w:ascii="Times New Roman" w:hAnsi="Times New Roman" w:eastAsia="宋体" w:cs="Times New Roman"/>
      <w:sz w:val="18"/>
      <w:szCs w:val="18"/>
    </w:rPr>
  </w:style>
  <w:style w:type="character" w:customStyle="1" w:styleId="19">
    <w:name w:val="标题 2 字符"/>
    <w:basedOn w:val="11"/>
    <w:link w:val="3"/>
    <w:qFormat/>
    <w:uiPriority w:val="0"/>
    <w:rPr>
      <w:rFonts w:ascii="Cambria" w:hAnsi="Cambria" w:eastAsia="宋体" w:cs="Times New Roman"/>
      <w:b/>
      <w:bCs/>
      <w:sz w:val="32"/>
      <w:szCs w:val="32"/>
    </w:rPr>
  </w:style>
  <w:style w:type="paragraph" w:customStyle="1" w:styleId="20">
    <w:name w:val="列出段落1"/>
    <w:basedOn w:val="1"/>
    <w:qFormat/>
    <w:uiPriority w:val="34"/>
    <w:pPr>
      <w:ind w:firstLine="420" w:firstLineChars="200"/>
    </w:pPr>
    <w:rPr>
      <w:sz w:val="24"/>
      <w:szCs w:val="24"/>
    </w:rPr>
  </w:style>
  <w:style w:type="character" w:customStyle="1" w:styleId="21">
    <w:name w:val="列表段落 字符"/>
    <w:link w:val="13"/>
    <w:qFormat/>
    <w:uiPriority w:val="34"/>
    <w:rPr>
      <w:rFonts w:ascii="Times New Roman" w:hAnsi="Times New Roman" w:eastAsia="宋体" w:cs="Times New Roman"/>
      <w:szCs w:val="20"/>
    </w:rPr>
  </w:style>
  <w:style w:type="character" w:customStyle="1" w:styleId="22">
    <w:name w:val="标题 3 字符"/>
    <w:basedOn w:val="11"/>
    <w:link w:val="4"/>
    <w:qFormat/>
    <w:uiPriority w:val="9"/>
    <w:rPr>
      <w:rFonts w:ascii="Times New Roman" w:hAnsi="Times New Roman" w:eastAsia="宋体" w:cs="Times New Roman"/>
      <w:b/>
      <w:bCs/>
      <w:sz w:val="32"/>
      <w:szCs w:val="32"/>
    </w:rPr>
  </w:style>
  <w:style w:type="character" w:customStyle="1" w:styleId="23">
    <w:name w:val="副标题 字符"/>
    <w:basedOn w:val="11"/>
    <w:link w:val="9"/>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HaoXiTong.Com</Company>
  <Pages>5</Pages>
  <Words>4008</Words>
  <Characters>4160</Characters>
  <Lines>31</Lines>
  <Paragraphs>8</Paragraphs>
  <TotalTime>7</TotalTime>
  <ScaleCrop>false</ScaleCrop>
  <LinksUpToDate>false</LinksUpToDate>
  <CharactersWithSpaces>4193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2022-03-01T14:26:00Z</dcterms:created>
  <dc:creator>PC</dc:creator>
  <cp:lastModifiedBy>Jie</cp:lastModifiedBy>
  <dcterms:modified xsi:type="dcterms:W3CDTF">2022-10-27T09:00:08Z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27897E205D824DE4A6D3D3EB767722D4</vt:lpwstr>
  </property>
</Properties>
</file>