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kern w:val="44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44"/>
          <w:sz w:val="44"/>
          <w:szCs w:val="44"/>
        </w:rPr>
        <w:t>医学文献基础资源</w:t>
      </w:r>
      <w:r>
        <w:rPr>
          <w:rFonts w:hint="eastAsia" w:ascii="宋体" w:hAnsi="宋体" w:eastAsia="宋体" w:cs="Times New Roman"/>
          <w:b/>
          <w:bCs/>
          <w:kern w:val="44"/>
          <w:sz w:val="44"/>
          <w:szCs w:val="44"/>
          <w:lang w:eastAsia="zh-CN"/>
        </w:rPr>
        <w:t>采购</w:t>
      </w:r>
      <w:r>
        <w:rPr>
          <w:rFonts w:hint="eastAsia" w:ascii="宋体" w:hAnsi="宋体" w:eastAsia="宋体" w:cs="Times New Roman"/>
          <w:b/>
          <w:bCs/>
          <w:kern w:val="44"/>
          <w:sz w:val="44"/>
          <w:szCs w:val="44"/>
        </w:rPr>
        <w:t>参数</w:t>
      </w:r>
    </w:p>
    <w:p>
      <w:pPr>
        <w:jc w:val="center"/>
        <w:rPr>
          <w:rFonts w:ascii="宋体" w:hAnsi="宋体" w:eastAsia="宋体" w:cs="Times New Roman"/>
          <w:b/>
          <w:bCs/>
          <w:kern w:val="44"/>
          <w:sz w:val="44"/>
          <w:szCs w:val="44"/>
        </w:rPr>
      </w:pPr>
    </w:p>
    <w:p>
      <w:pPr>
        <w:jc w:val="left"/>
        <w:rPr>
          <w:rFonts w:ascii="宋体" w:hAnsi="宋体" w:eastAsia="宋体" w:cs="Times New Roman"/>
          <w:b/>
          <w:bCs/>
          <w:kern w:val="44"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kern w:val="44"/>
          <w:sz w:val="30"/>
          <w:szCs w:val="30"/>
        </w:rPr>
        <w:t>招标内容：医学文献基础资源</w:t>
      </w:r>
    </w:p>
    <w:p>
      <w:pPr>
        <w:jc w:val="left"/>
        <w:rPr>
          <w:rFonts w:ascii="宋体" w:hAnsi="宋体" w:eastAsia="宋体" w:cs="Times New Roman"/>
          <w:b/>
          <w:bCs/>
          <w:kern w:val="44"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kern w:val="44"/>
          <w:sz w:val="30"/>
          <w:szCs w:val="30"/>
        </w:rPr>
        <w:t>1、总体要求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医学数字图书馆方式：医学文献服务、发现检索系统服务、微信平台服务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实用性：提供内容符合医生工作需要，对相关医护人员具有实用参考价值，并且平台功能简单易用。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平台功能简单易用。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权威准确：医学文献内容、系统提供临床参考内容均来源或参考正规出版物，内容编辑规范，有内容授权证明，文献均来自国内正式出版物。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稳定性：功能稳定，容错率高。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扩展性：支持医学信息服务平台新功能需求的开发和维护；无版权风险：平台提供内容均保证有正式知识版权，不侵害第三方权益，无版权法律风险。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多样性：系统提供多种使用形式，电脑网络版使用以及手机（可实现手机检索及阅览）、PAD等多终端应用形式。</w:t>
      </w:r>
    </w:p>
    <w:p>
      <w:pPr>
        <w:pStyle w:val="6"/>
        <w:spacing w:line="480" w:lineRule="auto"/>
        <w:ind w:left="840" w:firstLine="0" w:firstLineChars="0"/>
        <w:rPr>
          <w:rFonts w:hint="eastAsia" w:ascii="宋体" w:hAnsi="宋体" w:eastAsia="宋体"/>
          <w:sz w:val="24"/>
        </w:rPr>
      </w:pPr>
    </w:p>
    <w:p>
      <w:pPr>
        <w:jc w:val="left"/>
        <w:rPr>
          <w:rFonts w:ascii="宋体" w:hAnsi="宋体" w:eastAsia="宋体" w:cs="Times New Roman"/>
          <w:b/>
          <w:bCs/>
          <w:kern w:val="44"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kern w:val="44"/>
          <w:sz w:val="30"/>
          <w:szCs w:val="30"/>
        </w:rPr>
        <w:t>2、内容</w:t>
      </w:r>
      <w:r>
        <w:rPr>
          <w:rFonts w:ascii="宋体" w:hAnsi="宋体" w:eastAsia="宋体" w:cs="Times New Roman"/>
          <w:b/>
          <w:bCs/>
          <w:kern w:val="44"/>
          <w:sz w:val="30"/>
          <w:szCs w:val="30"/>
        </w:rPr>
        <w:t>要求</w:t>
      </w:r>
    </w:p>
    <w:p>
      <w:pPr>
        <w:jc w:val="left"/>
        <w:rPr>
          <w:rFonts w:ascii="宋体" w:hAnsi="宋体" w:eastAsia="宋体" w:cs="Times New Roman"/>
          <w:b/>
          <w:bCs/>
          <w:kern w:val="44"/>
          <w:sz w:val="30"/>
          <w:szCs w:val="30"/>
        </w:rPr>
      </w:pPr>
      <w:bookmarkStart w:id="0" w:name="_Hlk120647189"/>
      <w:r>
        <w:rPr>
          <w:rFonts w:hint="eastAsia" w:ascii="宋体" w:hAnsi="宋体" w:eastAsia="宋体" w:cs="Times New Roman"/>
          <w:b/>
          <w:bCs/>
          <w:kern w:val="44"/>
          <w:sz w:val="30"/>
          <w:szCs w:val="30"/>
        </w:rPr>
        <w:t>中文期刊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（1）中文期刊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涵盖需大于</w:t>
      </w:r>
      <w:r>
        <w:rPr>
          <w:rFonts w:hint="eastAsia" w:ascii="宋体" w:hAnsi="宋体" w:eastAsia="宋体"/>
          <w:color w:val="000000"/>
          <w:sz w:val="24"/>
          <w:szCs w:val="24"/>
        </w:rPr>
        <w:t>1100余种，以生物、医学类学术期刊为主，涵盖预防医学卫生学、中国医学、基础医学、临床医学、内科学、外科学、妇产科学、儿科学、肿瘤学、神经病学与精神病学、皮肤病学与性病学、耳鼻咽喉科学、眼科学、口腔科学、特种医学、药学、大学学报、医药卫生总论和生物科学各个学科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（2）中文期刊收录重要医学会---中华医学会，不少于140种，且全文不少于100万篇，提供独家授权证明；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（3）学科覆盖范围：按中图分类法进行分类，覆盖各个学科领域；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（4）更新频率：周更新2次；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（5）检索字段：提供期刊论文的检索和期刊的检索。期刊论文提供题名、作者、作者单位、关键词、摘要、刊名、基金的检索，期刊提供刊名、ISSN、CN、期刊主办单位的检索；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6）二次检索：提供三种形式的二次检索：直接修改检索表达式、聚类、缩小检索范围重新检索。期刊论文提供核心收录、发表年份、语种、刊名、出版状态、学科、作者、机构聚类，缩小检索范围提供标题、作者、关键词、刊名、年份范围检索。期刊检索提供学科、核心收录、出版周期聚类，缩小检索范围提供期刊刊名、ISSN、CN、期刊主办单位检索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（7）检索结果标记：展示文献类型、刊名、作者、摘要、关键词以及论文的核心收录情况；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（8）检索策略：简单检索+逐步限定+推荐。用户输入简单检索词开始，在得到的检索结果中通过聚类、排序以及综合系统推荐的检索词，逐步限定，得到结果。这种方法符合使用者行为，检索效果；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（9）检索结果排序：相关度、出版时间、被引量、下载量等排序方式；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（10）保存题录：提供参考文献、文本、XML、NoteExpress、Refworks、EndNote等多种格式以及自定义格式；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（11）导航体系：学科、刊名首字母、核心收录、收录地区、出版周期、优先出版；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（12）知识关联：提供“相关学者”、“相关主题”、“相关机构”等服务；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（13）可直接在线阅读或下载期刊网全文文献服务，可实现手机检索及阅览。</w:t>
      </w:r>
    </w:p>
    <w:p>
      <w:pPr>
        <w:rPr>
          <w:rFonts w:ascii="宋体" w:hAnsi="宋体" w:eastAsia="宋体"/>
          <w:color w:val="000000"/>
          <w:sz w:val="24"/>
          <w:szCs w:val="24"/>
        </w:rPr>
      </w:pPr>
    </w:p>
    <w:p>
      <w:pPr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 w:cs="Times New Roman"/>
          <w:b/>
          <w:bCs/>
          <w:kern w:val="44"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kern w:val="44"/>
          <w:sz w:val="30"/>
          <w:szCs w:val="30"/>
        </w:rPr>
        <w:t>学位论文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（1）全文数量：75万篇以上；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（2）收录时间：1980年—至今；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（3）学科覆盖： 涵盖基础医学、临床医学、口腔医学、公共卫生与预防医学、中医学、中西医结合、药学、中药学各个学科，收录了包含中国医科大学、哈尔滨医科大学、第二军医大学、重庆医科大学、第三军医大学、第四军医大学、浙江大学、北京大学等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大于</w:t>
      </w:r>
      <w:r>
        <w:rPr>
          <w:rFonts w:hint="eastAsia" w:ascii="宋体" w:hAnsi="宋体" w:eastAsia="宋体"/>
          <w:color w:val="000000"/>
          <w:sz w:val="24"/>
          <w:szCs w:val="24"/>
        </w:rPr>
        <w:t>350余家高校和科研机构的硕博士论文；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（4）国际通用格式：全文文件必须采用国际通用的PDF阅读浏览格式（Acrobat软件）；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（5）检索字段：题名，作者，作者单位，关键词，专业，导师，授予学位，授予单位；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（6） 检索聚类：提供五种形式的聚类：资源类型，中图分类，出版时间，授予学位，授予单位；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（7）</w:t>
      </w:r>
      <w:r>
        <w:rPr>
          <w:rFonts w:hint="eastAsia" w:ascii="宋体" w:hAnsi="宋体" w:eastAsia="宋体"/>
          <w:sz w:val="24"/>
          <w:szCs w:val="24"/>
        </w:rPr>
        <w:t>可直接在线阅读或下载期刊网全文文献服务，</w:t>
      </w:r>
      <w:r>
        <w:rPr>
          <w:rFonts w:hint="eastAsia" w:ascii="宋体" w:hAnsi="宋体" w:eastAsia="宋体"/>
          <w:color w:val="000000"/>
          <w:sz w:val="24"/>
          <w:szCs w:val="24"/>
        </w:rPr>
        <w:t>可实现手机检索及阅览。</w:t>
      </w:r>
    </w:p>
    <w:p>
      <w:pPr>
        <w:pStyle w:val="6"/>
        <w:spacing w:line="480" w:lineRule="auto"/>
        <w:ind w:left="420" w:firstLine="0" w:firstLineChars="0"/>
        <w:rPr>
          <w:rFonts w:ascii="宋体" w:hAnsi="宋体" w:eastAsia="宋体"/>
          <w:sz w:val="24"/>
        </w:rPr>
      </w:pPr>
    </w:p>
    <w:p>
      <w:pPr>
        <w:jc w:val="left"/>
        <w:rPr>
          <w:rFonts w:ascii="宋体" w:hAnsi="宋体" w:eastAsia="宋体" w:cs="Times New Roman"/>
          <w:b/>
          <w:bCs/>
          <w:kern w:val="44"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kern w:val="44"/>
          <w:sz w:val="30"/>
          <w:szCs w:val="30"/>
        </w:rPr>
        <w:t>会议论文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（1）全文数量：52万余篇；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（2）收录时间：1994 - 今，内容包含中华医学会、中国中西医结合学会、中华中医药学会、中华医学会继续教育部、中国药学会、浙江省医学会、中华预防医学会、中华护理学会等7000余个学术会议报道； 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（3）会议质量：收录一级学协会、研究所主办会议占比80%以上；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（4）学科覆盖范围：按中图分类法进行分类，覆盖生物医药各子学科；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（5）国际通用格式：全文文件必须采用国际通用的PDF阅读浏览格式（Acrobat软件）；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（6）检索字段：提名，作者，作者单位，关键词，会议名称，会议地点，主办单位，母体文献；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（7）批量导出及保存题录：一次可批量导出50条题录，提供参考文献、NoteExpress、Refworks、EndNote、Notefirst等多种格式；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（8）可在线直接下载文献。</w:t>
      </w:r>
    </w:p>
    <w:bookmarkEnd w:id="0"/>
    <w:p>
      <w:pPr>
        <w:pStyle w:val="6"/>
        <w:spacing w:line="480" w:lineRule="auto"/>
        <w:ind w:firstLine="0" w:firstLineChars="0"/>
        <w:rPr>
          <w:rFonts w:ascii="宋体" w:hAnsi="宋体" w:eastAsia="宋体"/>
          <w:sz w:val="24"/>
        </w:rPr>
      </w:pPr>
      <w:bookmarkStart w:id="2" w:name="_GoBack"/>
      <w:bookmarkEnd w:id="2"/>
    </w:p>
    <w:p>
      <w:pPr>
        <w:pStyle w:val="6"/>
        <w:spacing w:line="480" w:lineRule="auto"/>
        <w:ind w:firstLine="0" w:firstLineChars="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除提供中文期刊、学位论文、会议论文在线阅读或下载服务，还</w:t>
      </w:r>
      <w:r>
        <w:rPr>
          <w:rFonts w:hint="eastAsia" w:ascii="宋体" w:hAnsi="宋体" w:eastAsia="宋体"/>
          <w:sz w:val="24"/>
          <w:lang w:eastAsia="zh-CN"/>
        </w:rPr>
        <w:t>需</w:t>
      </w:r>
      <w:r>
        <w:rPr>
          <w:rFonts w:hint="eastAsia" w:ascii="宋体" w:hAnsi="宋体" w:eastAsia="宋体"/>
          <w:sz w:val="24"/>
        </w:rPr>
        <w:t>额外提供在线查看手术视频、图书（临床百家）、中医药知识库等内容。</w:t>
      </w:r>
    </w:p>
    <w:p>
      <w:pPr>
        <w:jc w:val="left"/>
        <w:rPr>
          <w:rFonts w:ascii="宋体" w:hAnsi="宋体" w:eastAsia="宋体" w:cs="Times New Roman"/>
          <w:b/>
          <w:bCs/>
          <w:kern w:val="44"/>
          <w:sz w:val="30"/>
          <w:szCs w:val="30"/>
        </w:rPr>
      </w:pPr>
      <w:r>
        <w:rPr>
          <w:rFonts w:ascii="宋体" w:hAnsi="宋体" w:eastAsia="宋体" w:cs="Times New Roman"/>
          <w:b/>
          <w:bCs/>
          <w:kern w:val="44"/>
          <w:sz w:val="30"/>
          <w:szCs w:val="30"/>
        </w:rPr>
        <w:t>3</w:t>
      </w:r>
      <w:r>
        <w:rPr>
          <w:rFonts w:hint="eastAsia" w:ascii="宋体" w:hAnsi="宋体" w:eastAsia="宋体" w:cs="Times New Roman"/>
          <w:b/>
          <w:bCs/>
          <w:kern w:val="44"/>
          <w:sz w:val="30"/>
          <w:szCs w:val="30"/>
        </w:rPr>
        <w:t>、功能</w:t>
      </w:r>
      <w:r>
        <w:rPr>
          <w:rFonts w:ascii="宋体" w:hAnsi="宋体" w:eastAsia="宋体" w:cs="Times New Roman"/>
          <w:b/>
          <w:bCs/>
          <w:kern w:val="44"/>
          <w:sz w:val="30"/>
          <w:szCs w:val="30"/>
        </w:rPr>
        <w:t>要求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分类导航：提供中文期刊、学位论文、会议论文、手术视频、图书（临床百家）、中医药知识库分类导航方式，且网页版导航分类必须在同一平台。</w:t>
      </w:r>
    </w:p>
    <w:p>
      <w:pPr>
        <w:spacing w:line="480" w:lineRule="auto"/>
        <w:rPr>
          <w:rFonts w:ascii="宋体" w:hAnsi="宋体" w:eastAsia="宋体"/>
          <w:sz w:val="24"/>
        </w:rPr>
      </w:pPr>
    </w:p>
    <w:p>
      <w:pPr>
        <w:pStyle w:val="6"/>
        <w:spacing w:line="480" w:lineRule="auto"/>
        <w:ind w:firstLine="0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微信公众平台服务：</w:t>
      </w:r>
    </w:p>
    <w:p>
      <w:pPr>
        <w:spacing w:line="48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拥有官方公众号，通过公众号的方式</w:t>
      </w:r>
      <w:r>
        <w:rPr>
          <w:rFonts w:hint="eastAsia" w:ascii="宋体" w:hAnsi="宋体" w:eastAsia="宋体"/>
          <w:sz w:val="24"/>
          <w:lang w:eastAsia="zh-CN"/>
        </w:rPr>
        <w:t>可</w:t>
      </w:r>
      <w:r>
        <w:rPr>
          <w:rFonts w:hint="eastAsia" w:ascii="宋体" w:hAnsi="宋体" w:eastAsia="宋体"/>
          <w:sz w:val="24"/>
        </w:rPr>
        <w:t>为读者推送所属医疗领域最新研究进展等相关信息。且正在微信平台可实现期刊文献的导航、检索和下载阅读。</w:t>
      </w:r>
    </w:p>
    <w:p>
      <w:pPr>
        <w:pStyle w:val="6"/>
        <w:spacing w:line="480" w:lineRule="auto"/>
        <w:ind w:firstLine="0" w:firstLineChars="0"/>
        <w:rPr>
          <w:rFonts w:ascii="宋体" w:hAnsi="宋体" w:eastAsia="宋体"/>
          <w:sz w:val="15"/>
          <w:szCs w:val="15"/>
        </w:rPr>
      </w:pPr>
    </w:p>
    <w:p>
      <w:pPr>
        <w:jc w:val="left"/>
        <w:rPr>
          <w:rFonts w:ascii="宋体" w:hAnsi="宋体" w:eastAsia="宋体" w:cs="Times New Roman"/>
          <w:b/>
          <w:bCs/>
          <w:kern w:val="44"/>
          <w:sz w:val="30"/>
          <w:szCs w:val="30"/>
        </w:rPr>
      </w:pPr>
      <w:r>
        <w:rPr>
          <w:rFonts w:ascii="宋体" w:hAnsi="宋体" w:eastAsia="宋体" w:cs="Times New Roman"/>
          <w:b/>
          <w:bCs/>
          <w:kern w:val="44"/>
          <w:sz w:val="30"/>
          <w:szCs w:val="30"/>
        </w:rPr>
        <w:t>4</w:t>
      </w:r>
      <w:r>
        <w:rPr>
          <w:rFonts w:hint="eastAsia" w:ascii="宋体" w:hAnsi="宋体" w:eastAsia="宋体" w:cs="Times New Roman"/>
          <w:b/>
          <w:bCs/>
          <w:kern w:val="44"/>
          <w:sz w:val="30"/>
          <w:szCs w:val="30"/>
        </w:rPr>
        <w:t>、其他</w:t>
      </w:r>
      <w:r>
        <w:rPr>
          <w:rFonts w:ascii="宋体" w:hAnsi="宋体" w:eastAsia="宋体" w:cs="Times New Roman"/>
          <w:b/>
          <w:bCs/>
          <w:kern w:val="44"/>
          <w:sz w:val="30"/>
          <w:szCs w:val="30"/>
        </w:rPr>
        <w:t>要求</w:t>
      </w:r>
    </w:p>
    <w:p>
      <w:pPr>
        <w:pStyle w:val="6"/>
        <w:spacing w:line="480" w:lineRule="auto"/>
        <w:ind w:left="420" w:firstLine="0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</w:t>
      </w:r>
      <w:r>
        <w:rPr>
          <w:rFonts w:ascii="宋体" w:hAnsi="宋体" w:eastAsia="宋体"/>
          <w:sz w:val="24"/>
        </w:rPr>
        <w:t>技术服务：自平台正式应用起，30天内完成平台的部署，合同所服务年内免费提供维护，包括现场支持（不超过24h)、电话支持(不超过1h)、远程支持(不超过4h)等，免费维护期：</w:t>
      </w:r>
      <w:r>
        <w:rPr>
          <w:rFonts w:hint="eastAsia" w:ascii="宋体" w:hAnsi="宋体" w:eastAsia="宋体"/>
          <w:sz w:val="24"/>
        </w:rPr>
        <w:t>一年</w:t>
      </w:r>
    </w:p>
    <w:p>
      <w:pPr>
        <w:pStyle w:val="6"/>
        <w:spacing w:line="480" w:lineRule="auto"/>
        <w:ind w:left="420" w:firstLine="0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2、更新保障：网络平台每周数据更新，对平台bug的功能，技术人员将上门并提供免费升级服务。</w:t>
      </w:r>
    </w:p>
    <w:p>
      <w:pPr>
        <w:pStyle w:val="6"/>
        <w:spacing w:line="480" w:lineRule="auto"/>
        <w:ind w:left="420" w:firstLine="0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3、用户培训：提供平台说明书及操作手册等培训资料，并且每年给医院不定期进行1-2次平台使用宣传和平台使用培训工作。</w:t>
      </w:r>
    </w:p>
    <w:p>
      <w:pPr>
        <w:pStyle w:val="6"/>
        <w:spacing w:line="480" w:lineRule="auto"/>
        <w:ind w:left="420" w:firstLine="0" w:firstLineChars="0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 w:cs="Times New Roman"/>
          <w:b/>
          <w:bCs/>
          <w:kern w:val="44"/>
          <w:sz w:val="30"/>
          <w:szCs w:val="30"/>
        </w:rPr>
      </w:pPr>
      <w:bookmarkStart w:id="1" w:name="_Hlk120647236"/>
      <w:r>
        <w:rPr>
          <w:rFonts w:hint="eastAsia" w:ascii="宋体" w:hAnsi="宋体" w:eastAsia="宋体" w:cs="Times New Roman"/>
          <w:b/>
          <w:bCs/>
          <w:kern w:val="44"/>
          <w:sz w:val="30"/>
          <w:szCs w:val="30"/>
        </w:rPr>
        <w:t>外文期刊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资源类型和数量：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①国外医药卫生电子期刊：&gt;40000种，核心期刊&gt;7000种，日增4000篇文章；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②临床指南：&gt;2600篇；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③医学专业资讯（新闻、快报）：&gt;20000篇，每日更新。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资源收录时间：期刊1950年至今，其余文献类型2000年至今；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学科覆盖范围：基础医学、临床医学、口腔医学、护理学、预防医学、公共卫生、药学等医药卫生（生物医学）全部子学科；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资源更新频率：期刊文献每日更新，其他文献每月更新；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资源更新速度：期刊文献比PubMed快2周以上；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订阅推送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①期刊订阅推送：按刊名订阅自己的专业期刊或感兴趣的期刊，系统自动推送最新一期的论文；&gt;7000种期刊可订阅推送，这些期刊涵盖了PubMed数据库中的核心医学期刊和SCI数据库中的医学期刊。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②其他文献类型订阅推送：可按学科或主题订阅其他文献类型，系统自动推送最新文献，满足个性化需求。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（7）检索浏览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①检索字段：期刊论文提供全部字段、标题、摘要、主题词（MeSH）、主要主题词（MJME）、作者、作者单位、出版商、期刊名称、卷、期等字段检索；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②在同一字段内，支持单词或词组检索，词组自动拆分成单词进行逻辑与AND运算；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③支持多条件（字段）的复杂布尔逻辑（AND、OR、NOT）检索。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（8）检索结果过滤与精炼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①直接修改检索表达式；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②聚类过滤：提供出版年、期刊、主题、文献类型等字段的过滤筛选和精炼。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（9）检索结果输出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①检索结果显示：标题（中英对照）、作者、摘要（中英对照）、来源（刊名、年、卷、期、页码）、发布时间、全文（OA直接下载）、全文获取（本地馆藏提供全文链接、非本地馆藏自动转接馆际互借系统）；可查看每个检索结果的“施引文献”和“相似文献”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②检索结果收藏：对密切相关文献或中意文献进行收藏，在个人空间可随时阅读；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③检索结果分享、保存和打印：手机App版可将检索结果分享至微信好友；Web版全文可下载保存、打印输出。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（10）文献英汉对照即时翻译：提供文献题录、摘要、全文以及视频字幕在线即时中文翻译，全文中文译本与原文版式风格保持一致，英汉翻译准确度&gt;85%（优化翻译引擎后可达到95%以上）；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（11）全文保障：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①OA文献全文：直接下载PDF文档；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②用户订购授权使用的全文：篇目层次充分揭示，提供全文下载链接；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③非OA用户未订购文献全文：通过CALIS文献传递系统获得；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④全文保障率&gt;95%，文献传递平均响应时间&lt;2小时（夜间10点之后的响应时间稍长）。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（12）个性化服务：订阅推送、收藏、检索式最新结果跟踪、个人空间；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（13）多终端多模式使用：提供手机App版，手机H5版，电脑Web版等多种使用模式，满足用户在不同场景下移动设备和桌面设备的切换使用；</w:t>
      </w:r>
    </w:p>
    <w:p>
      <w:pPr>
        <w:snapToGrid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（14）整合用户机构统一认证系统或CALIS统一认证系统；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（15）提供机构管理员后台管理机构用户账号、设定机构用户使用权限、查阅机构用户使用统计报告（包括十几项统计指标）。</w:t>
      </w:r>
    </w:p>
    <w:bookmarkEnd w:id="1"/>
    <w:p>
      <w:pPr>
        <w:spacing w:line="480" w:lineRule="auto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B26F7"/>
    <w:multiLevelType w:val="multilevel"/>
    <w:tmpl w:val="283B26F7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F4C36E3"/>
    <w:multiLevelType w:val="multilevel"/>
    <w:tmpl w:val="2F4C36E3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OWMxNjgxMjc2OGY5N2IzMDc1M2M2MDhhNzlmMjAifQ=="/>
  </w:docVars>
  <w:rsids>
    <w:rsidRoot w:val="00FF7F41"/>
    <w:rsid w:val="0018254A"/>
    <w:rsid w:val="001B04E9"/>
    <w:rsid w:val="001E7BCE"/>
    <w:rsid w:val="003430D0"/>
    <w:rsid w:val="00564D7B"/>
    <w:rsid w:val="006F0A5F"/>
    <w:rsid w:val="00C421B7"/>
    <w:rsid w:val="00F124B8"/>
    <w:rsid w:val="00FF7F41"/>
    <w:rsid w:val="0F0E3703"/>
    <w:rsid w:val="1626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3197</Words>
  <Characters>3414</Characters>
  <Lines>24</Lines>
  <Paragraphs>7</Paragraphs>
  <TotalTime>16</TotalTime>
  <ScaleCrop>false</ScaleCrop>
  <LinksUpToDate>false</LinksUpToDate>
  <CharactersWithSpaces>3419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2022-11-29T11:57:00Z</dcterms:created>
  <dc:creator>2686875651@qq.com</dc:creator>
  <cp:lastModifiedBy>指尖流沙</cp:lastModifiedBy>
  <dcterms:modified xsi:type="dcterms:W3CDTF">2022-12-05T08:42:32Z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CD4A9ADCA5E047E3923F633C8C473C4E</vt:lpwstr>
  </property>
</Properties>
</file>